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661A" w:rsidRDefault="00D4661A">
      <w:pPr>
        <w:spacing w:after="0"/>
        <w:jc w:val="center"/>
        <w:rPr>
          <w:b/>
          <w:color w:val="980000"/>
          <w:sz w:val="26"/>
          <w:szCs w:val="26"/>
        </w:rPr>
      </w:pPr>
      <w:bookmarkStart w:id="0" w:name="_GoBack"/>
      <w:bookmarkEnd w:id="0"/>
    </w:p>
    <w:p w:rsidR="00D4661A" w:rsidRDefault="00D4661A">
      <w:pPr>
        <w:spacing w:after="0"/>
        <w:jc w:val="center"/>
        <w:rPr>
          <w:b/>
          <w:color w:val="980000"/>
          <w:sz w:val="26"/>
          <w:szCs w:val="26"/>
        </w:rPr>
      </w:pPr>
    </w:p>
    <w:p w:rsidR="00D4661A" w:rsidRDefault="00D4661A">
      <w:pPr>
        <w:spacing w:after="0"/>
        <w:jc w:val="center"/>
        <w:rPr>
          <w:b/>
          <w:sz w:val="26"/>
          <w:szCs w:val="26"/>
        </w:rPr>
      </w:pPr>
    </w:p>
    <w:p w:rsidR="00D4661A" w:rsidRDefault="00A9294D">
      <w:pPr>
        <w:spacing w:after="0"/>
        <w:jc w:val="center"/>
      </w:pPr>
      <w:r>
        <w:rPr>
          <w:b/>
          <w:sz w:val="26"/>
          <w:szCs w:val="26"/>
        </w:rPr>
        <w:t>DECLARACIÓN DE CONFIDENCIALIDAD</w:t>
      </w:r>
    </w:p>
    <w:p w:rsidR="00D4661A" w:rsidRDefault="00D4661A">
      <w:pPr>
        <w:spacing w:after="0"/>
        <w:jc w:val="both"/>
      </w:pPr>
    </w:p>
    <w:tbl>
      <w:tblPr>
        <w:tblStyle w:val="a"/>
        <w:tblW w:w="8828" w:type="dxa"/>
        <w:tblInd w:w="-11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A0" w:firstRow="1" w:lastRow="0" w:firstColumn="1" w:lastColumn="0" w:noHBand="0" w:noVBand="1"/>
      </w:tblPr>
      <w:tblGrid>
        <w:gridCol w:w="2122"/>
        <w:gridCol w:w="6706"/>
      </w:tblGrid>
      <w:tr w:rsidR="00D4661A" w:rsidTr="00D46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il"/>
            </w:tcBorders>
            <w:vAlign w:val="center"/>
          </w:tcPr>
          <w:p w:rsidR="00D4661A" w:rsidRDefault="00A9294D">
            <w:pPr>
              <w:contextualSpacing w:val="0"/>
              <w:jc w:val="center"/>
            </w:pPr>
            <w:r>
              <w:t>NOMBRE DE LA INVESTIGACIÓN</w:t>
            </w:r>
          </w:p>
        </w:tc>
        <w:tc>
          <w:tcPr>
            <w:tcW w:w="6706" w:type="dxa"/>
            <w:tcBorders>
              <w:bottom w:val="nil"/>
            </w:tcBorders>
          </w:tcPr>
          <w:p w:rsidR="00D4661A" w:rsidRPr="00AD72D4" w:rsidRDefault="00AD72D4" w:rsidP="00AD72D4">
            <w:pPr>
              <w:contextualSpacing w:val="0"/>
              <w:jc w:val="both"/>
              <w:cnfStyle w:val="100000000000" w:firstRow="1" w:lastRow="0" w:firstColumn="0" w:lastColumn="0" w:oddVBand="0" w:evenVBand="0" w:oddHBand="0" w:evenHBand="0" w:firstRowFirstColumn="0" w:firstRowLastColumn="0" w:lastRowFirstColumn="0" w:lastRowLastColumn="0"/>
              <w:rPr>
                <w:b w:val="0"/>
              </w:rPr>
            </w:pPr>
            <w:r w:rsidRPr="00AD72D4">
              <w:rPr>
                <w:rFonts w:ascii="Arial" w:hAnsi="Arial" w:cs="Arial"/>
                <w:b w:val="0"/>
              </w:rPr>
              <w:t>Propuesta de pruebas bioquímicas para el diagnóstico de</w:t>
            </w:r>
            <w:r w:rsidR="00DA47EF">
              <w:rPr>
                <w:rFonts w:ascii="Arial" w:hAnsi="Arial" w:cs="Arial"/>
                <w:b w:val="0"/>
              </w:rPr>
              <w:t xml:space="preserve"> Mucopolisacaridosis (MPS) al</w:t>
            </w:r>
            <w:r w:rsidRPr="00AD72D4">
              <w:rPr>
                <w:rFonts w:ascii="Arial" w:hAnsi="Arial" w:cs="Arial"/>
                <w:b w:val="0"/>
              </w:rPr>
              <w:t xml:space="preserve"> Laboratorio Clínico de la Facultad de Ciencias Químicas de la Universidad Central del Ecuador</w:t>
            </w:r>
            <w:r w:rsidRPr="00AD72D4">
              <w:rPr>
                <w:b w:val="0"/>
                <w:color w:val="2F5496"/>
              </w:rPr>
              <w:t xml:space="preserve"> </w:t>
            </w:r>
          </w:p>
        </w:tc>
      </w:tr>
      <w:tr w:rsidR="00D4661A"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t>NOMBRE DEL INVESTIGADOR</w:t>
            </w:r>
          </w:p>
        </w:tc>
        <w:tc>
          <w:tcPr>
            <w:tcW w:w="6706" w:type="dxa"/>
          </w:tcPr>
          <w:p w:rsidR="00D4661A" w:rsidRDefault="00AD72D4" w:rsidP="00DA47EF">
            <w:pPr>
              <w:contextualSpacing w:val="0"/>
              <w:jc w:val="both"/>
              <w:cnfStyle w:val="000000000000" w:firstRow="0" w:lastRow="0" w:firstColumn="0" w:lastColumn="0" w:oddVBand="0" w:evenVBand="0" w:oddHBand="0" w:evenHBand="0" w:firstRowFirstColumn="0" w:firstRowLastColumn="0" w:lastRowFirstColumn="0" w:lastRowLastColumn="0"/>
            </w:pPr>
            <w:r>
              <w:rPr>
                <w:color w:val="2F5496"/>
              </w:rPr>
              <w:t>Dra. Alba Walkyrie</w:t>
            </w:r>
            <w:r w:rsidR="00DA47EF">
              <w:rPr>
                <w:color w:val="2F5496"/>
              </w:rPr>
              <w:t xml:space="preserve"> Aguilar Alfaro</w:t>
            </w:r>
          </w:p>
        </w:tc>
      </w:tr>
      <w:tr w:rsidR="00D4661A"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t>DESCRIPCIÓN DE LA INVESTIGACIÓN</w:t>
            </w:r>
          </w:p>
        </w:tc>
        <w:tc>
          <w:tcPr>
            <w:tcW w:w="6706" w:type="dxa"/>
          </w:tcPr>
          <w:p w:rsidR="00AD72D4" w:rsidRDefault="00AD72D4" w:rsidP="00DD3DB4">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4CDEDA0F">
              <w:rPr>
                <w:rFonts w:ascii="Arial" w:hAnsi="Arial" w:cs="Arial"/>
              </w:rPr>
              <w:t xml:space="preserve">La investigación,  "Propuesta de pruebas bioquímicas para el diagnóstico de </w:t>
            </w:r>
            <w:r w:rsidR="00DA47EF" w:rsidRPr="4CDEDA0F">
              <w:rPr>
                <w:rFonts w:ascii="Arial" w:hAnsi="Arial" w:cs="Arial"/>
              </w:rPr>
              <w:t>Mucopolisacaridosis</w:t>
            </w:r>
            <w:r w:rsidRPr="4CDEDA0F">
              <w:rPr>
                <w:rFonts w:ascii="Arial" w:hAnsi="Arial" w:cs="Arial"/>
              </w:rPr>
              <w:t xml:space="preserve"> (MPS) en el Laboratorio Clínico de la Facultad de Ciencias Químicas de la Universidad Central del Ecuador", nace luego de la investigación "Propuesta de protocolo para el tamizaje de MPS en población de riesgo".  Las MPS se presentan a nivel mundial, como enfermedades raras (ER), con una frecuencia baja de 1,98 casos por 100.000 nacidos vivos y, en nuestro país no existen registros formales sobre la prevalencia de estas enfermedades, pese a que nuestra población ecuatoriana si presenta esta enfermedad.  En la actualidad estos pacientes, en su mayoría, son atendidos con cuidados paliativos, sin tener un tratamiento farmacológico específico;  en la mayoría de casos su diagnóstico se lo realiza en países extranjeros cuando la enfermedad ya ha avanzado en su desarrollo, comprometiendo la salud del paciente, el bienestar y la economía familiar.</w:t>
            </w:r>
          </w:p>
          <w:p w:rsidR="00AD72D4" w:rsidRDefault="00AD72D4" w:rsidP="00DD3DB4">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C6E4D5D">
              <w:rPr>
                <w:rFonts w:ascii="Arial" w:hAnsi="Arial" w:cs="Arial"/>
              </w:rPr>
              <w:t>Por esta razón es importante que nuestro sistema de salud presente un acceso adecuado, tanto a nivel de atención de salud al paciente como la oferta de  pruebas de tamizaje como de diagnóstico para detectar a tiempo a pacientes con estas enfermedades.</w:t>
            </w:r>
          </w:p>
          <w:p w:rsidR="00AD72D4" w:rsidRPr="00B315AD" w:rsidRDefault="00AD72D4" w:rsidP="00AD72D4">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C45BA8A">
              <w:rPr>
                <w:rFonts w:ascii="Arial" w:hAnsi="Arial" w:cs="Arial"/>
              </w:rPr>
              <w:t>De esta manera el propósit</w:t>
            </w:r>
            <w:r w:rsidR="00DA47EF">
              <w:rPr>
                <w:rFonts w:ascii="Arial" w:hAnsi="Arial" w:cs="Arial"/>
              </w:rPr>
              <w:t>o principal es proponer al</w:t>
            </w:r>
            <w:r w:rsidRPr="0C45BA8A">
              <w:rPr>
                <w:rFonts w:ascii="Arial" w:hAnsi="Arial" w:cs="Arial"/>
              </w:rPr>
              <w:t xml:space="preserve"> Laboratorio Clínico de la Facultad de Ciencias Químicas, UCE pruebas bioquímicas para el diagnóstico de MPS. </w:t>
            </w:r>
          </w:p>
          <w:p w:rsidR="00D4661A" w:rsidRDefault="00D4661A">
            <w:pPr>
              <w:contextualSpacing w:val="0"/>
              <w:jc w:val="both"/>
              <w:cnfStyle w:val="000000000000" w:firstRow="0" w:lastRow="0" w:firstColumn="0" w:lastColumn="0" w:oddVBand="0" w:evenVBand="0" w:oddHBand="0" w:evenHBand="0" w:firstRowFirstColumn="0" w:firstRowLastColumn="0" w:lastRowFirstColumn="0" w:lastRowLastColumn="0"/>
            </w:pPr>
          </w:p>
        </w:tc>
      </w:tr>
      <w:tr w:rsidR="00D4661A"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Default="00A9294D">
            <w:pPr>
              <w:contextualSpacing w:val="0"/>
              <w:jc w:val="center"/>
            </w:pPr>
            <w:r>
              <w:lastRenderedPageBreak/>
              <w:t>OBJETIVO GENERAL</w:t>
            </w:r>
          </w:p>
        </w:tc>
        <w:tc>
          <w:tcPr>
            <w:tcW w:w="6706" w:type="dxa"/>
          </w:tcPr>
          <w:p w:rsidR="00D4661A" w:rsidRDefault="00DA47EF">
            <w:pPr>
              <w:contextualSpacing w:val="0"/>
              <w:jc w:val="both"/>
              <w:cnfStyle w:val="000000000000" w:firstRow="0" w:lastRow="0" w:firstColumn="0" w:lastColumn="0" w:oddVBand="0" w:evenVBand="0" w:oddHBand="0" w:evenHBand="0" w:firstRowFirstColumn="0" w:firstRowLastColumn="0" w:lastRowFirstColumn="0" w:lastRowLastColumn="0"/>
            </w:pPr>
            <w:r>
              <w:rPr>
                <w:rFonts w:ascii="Arial" w:hAnsi="Arial" w:cs="Arial"/>
              </w:rPr>
              <w:t>P</w:t>
            </w:r>
            <w:r w:rsidR="00AD72D4" w:rsidRPr="4CDEDA0F">
              <w:rPr>
                <w:rFonts w:ascii="Arial" w:hAnsi="Arial" w:cs="Arial"/>
              </w:rPr>
              <w:t>roponer pruebas bioquímicas para el diagnóstico de MP</w:t>
            </w:r>
            <w:r>
              <w:rPr>
                <w:rFonts w:ascii="Arial" w:hAnsi="Arial" w:cs="Arial"/>
              </w:rPr>
              <w:t>S en población de riesgo, propuestas al Laboratorio Clínico de</w:t>
            </w:r>
            <w:r w:rsidR="00AD72D4" w:rsidRPr="4CDEDA0F">
              <w:rPr>
                <w:rFonts w:ascii="Arial" w:hAnsi="Arial" w:cs="Arial"/>
              </w:rPr>
              <w:t xml:space="preserve"> la Facultad de Ciencias Químicas de la UCE.</w:t>
            </w:r>
          </w:p>
        </w:tc>
      </w:tr>
      <w:tr w:rsidR="00AD72D4"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AD72D4" w:rsidRDefault="00AD72D4" w:rsidP="00AD72D4">
            <w:pPr>
              <w:contextualSpacing w:val="0"/>
              <w:jc w:val="center"/>
            </w:pPr>
            <w:r>
              <w:t>OBJETIVO ESPECÍFICOS</w:t>
            </w:r>
          </w:p>
        </w:tc>
        <w:tc>
          <w:tcPr>
            <w:tcW w:w="6706" w:type="dxa"/>
          </w:tcPr>
          <w:p w:rsidR="00AD72D4" w:rsidRDefault="00DA47EF" w:rsidP="00AD72D4">
            <w:pPr>
              <w:pStyle w:val="Prrafodelista"/>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w:t>
            </w:r>
            <w:r w:rsidR="00AD72D4" w:rsidRPr="00AD72D4">
              <w:rPr>
                <w:rFonts w:ascii="Arial" w:hAnsi="Arial" w:cs="Arial"/>
              </w:rPr>
              <w:t>evisión de métodos de análisis bioquímico de MPS</w:t>
            </w:r>
          </w:p>
          <w:p w:rsidR="00AD72D4" w:rsidRPr="00AD72D4" w:rsidRDefault="00AD72D4" w:rsidP="00AD72D4">
            <w:pPr>
              <w:pStyle w:val="Prrafodelista"/>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AD72D4">
              <w:rPr>
                <w:rFonts w:ascii="Arial" w:hAnsi="Arial" w:cs="Arial"/>
              </w:rPr>
              <w:t>Análisis de la disponibilidad de equipos y reactivos en el Laboratorio Clínico</w:t>
            </w:r>
          </w:p>
          <w:p w:rsidR="00AD72D4" w:rsidRDefault="00AD72D4" w:rsidP="00AD72D4">
            <w:pPr>
              <w:pStyle w:val="Prrafodelista"/>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122AA2">
              <w:rPr>
                <w:rFonts w:ascii="Arial" w:hAnsi="Arial" w:cs="Arial"/>
              </w:rPr>
              <w:t>Adquisición de equipos y reactivos que no se dispongan en el Laboratorio Clínico</w:t>
            </w:r>
          </w:p>
          <w:p w:rsidR="00AD72D4" w:rsidRDefault="00AD72D4" w:rsidP="00AD72D4">
            <w:pPr>
              <w:pStyle w:val="Prrafodelista"/>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4CDEDA0F">
              <w:rPr>
                <w:rFonts w:ascii="Arial" w:hAnsi="Arial" w:cs="Arial"/>
              </w:rPr>
              <w:t>Comparación con estándares de GAGs de los diferentes tipos de  MPS</w:t>
            </w:r>
          </w:p>
          <w:p w:rsidR="00AD72D4" w:rsidRPr="00AD72D4" w:rsidRDefault="00DA47EF" w:rsidP="00AD72D4">
            <w:pPr>
              <w:pStyle w:val="Prrafodelista"/>
              <w:numPr>
                <w:ilvl w:val="0"/>
                <w:numId w:val="2"/>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Propues</w:t>
            </w:r>
            <w:r w:rsidR="00AD72D4" w:rsidRPr="0C6E4D5D">
              <w:rPr>
                <w:rFonts w:ascii="Arial" w:hAnsi="Arial" w:cs="Arial"/>
              </w:rPr>
              <w:t xml:space="preserve">ta </w:t>
            </w:r>
            <w:r>
              <w:rPr>
                <w:rFonts w:ascii="Arial" w:hAnsi="Arial" w:cs="Arial"/>
              </w:rPr>
              <w:t xml:space="preserve"> de pruebas bioquímicas para el diagnóstico de M</w:t>
            </w:r>
            <w:r w:rsidR="00AD72D4" w:rsidRPr="0C6E4D5D">
              <w:rPr>
                <w:rFonts w:ascii="Arial" w:hAnsi="Arial" w:cs="Arial"/>
              </w:rPr>
              <w:t>P</w:t>
            </w:r>
            <w:r>
              <w:rPr>
                <w:rFonts w:ascii="Arial" w:hAnsi="Arial" w:cs="Arial"/>
              </w:rPr>
              <w:t>S al laboratorio Clínico de la Facultad de Ciencias Químicas de la UCE.</w:t>
            </w:r>
          </w:p>
        </w:tc>
      </w:tr>
      <w:tr w:rsidR="00AD72D4"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AD72D4" w:rsidRDefault="00AD72D4" w:rsidP="00AD72D4">
            <w:pPr>
              <w:contextualSpacing w:val="0"/>
              <w:jc w:val="center"/>
            </w:pPr>
            <w:r>
              <w:t>BENEFICIOS Y RIESGOS DE LA INVESTIGACIÓN</w:t>
            </w:r>
          </w:p>
        </w:tc>
        <w:tc>
          <w:tcPr>
            <w:tcW w:w="6706" w:type="dxa"/>
          </w:tcPr>
          <w:p w:rsidR="00AD72D4" w:rsidRPr="00BE3704" w:rsidRDefault="00AD72D4" w:rsidP="00AD72D4">
            <w:pPr>
              <w:ind w:right="956"/>
              <w:jc w:val="both"/>
              <w:cnfStyle w:val="000000000000" w:firstRow="0" w:lastRow="0" w:firstColumn="0" w:lastColumn="0" w:oddVBand="0" w:evenVBand="0" w:oddHBand="0" w:evenHBand="0" w:firstRowFirstColumn="0" w:firstRowLastColumn="0" w:lastRowFirstColumn="0" w:lastRowLastColumn="0"/>
              <w:rPr>
                <w:lang w:val="es-ES"/>
              </w:rPr>
            </w:pPr>
            <w:r>
              <w:rPr>
                <w:b/>
              </w:rPr>
              <w:t>R</w:t>
            </w:r>
            <w:r>
              <w:rPr>
                <w:b/>
                <w:spacing w:val="1"/>
              </w:rPr>
              <w:t>I</w:t>
            </w:r>
            <w:r>
              <w:rPr>
                <w:b/>
              </w:rPr>
              <w:t>E</w:t>
            </w:r>
            <w:r>
              <w:rPr>
                <w:b/>
                <w:spacing w:val="-1"/>
              </w:rPr>
              <w:t>S</w:t>
            </w:r>
            <w:r>
              <w:rPr>
                <w:b/>
                <w:spacing w:val="1"/>
              </w:rPr>
              <w:t>G</w:t>
            </w:r>
            <w:r>
              <w:rPr>
                <w:b/>
              </w:rPr>
              <w:t>O</w:t>
            </w:r>
            <w:r>
              <w:rPr>
                <w:b/>
                <w:spacing w:val="-4"/>
              </w:rPr>
              <w:t>S</w:t>
            </w:r>
            <w:r w:rsidRPr="00BE3704">
              <w:t xml:space="preserve">:  </w:t>
            </w:r>
            <w:r w:rsidRPr="00BE3704">
              <w:rPr>
                <w:spacing w:val="22"/>
              </w:rPr>
              <w:t xml:space="preserve"> </w:t>
            </w:r>
            <w:r w:rsidRPr="00BE3704">
              <w:rPr>
                <w:spacing w:val="1"/>
                <w:lang w:val="es-ES"/>
              </w:rPr>
              <w:t>L</w:t>
            </w:r>
            <w:r w:rsidRPr="00BE3704">
              <w:rPr>
                <w:lang w:val="es-ES"/>
              </w:rPr>
              <w:t>os</w:t>
            </w:r>
            <w:r w:rsidRPr="00BE3704">
              <w:rPr>
                <w:spacing w:val="20"/>
                <w:lang w:val="es-ES"/>
              </w:rPr>
              <w:t xml:space="preserve"> </w:t>
            </w:r>
            <w:r w:rsidRPr="00BE3704">
              <w:rPr>
                <w:spacing w:val="1"/>
                <w:lang w:val="es-ES"/>
              </w:rPr>
              <w:t>r</w:t>
            </w:r>
            <w:r w:rsidRPr="00BE3704">
              <w:rPr>
                <w:lang w:val="es-ES"/>
              </w:rPr>
              <w:t>i</w:t>
            </w:r>
            <w:r w:rsidRPr="00BE3704">
              <w:rPr>
                <w:spacing w:val="-2"/>
                <w:lang w:val="es-ES"/>
              </w:rPr>
              <w:t>e</w:t>
            </w:r>
            <w:r w:rsidRPr="00BE3704">
              <w:rPr>
                <w:lang w:val="es-ES"/>
              </w:rPr>
              <w:t>sgos son</w:t>
            </w:r>
            <w:r w:rsidRPr="00BE3704">
              <w:rPr>
                <w:spacing w:val="22"/>
                <w:lang w:val="es-ES"/>
              </w:rPr>
              <w:t xml:space="preserve"> </w:t>
            </w:r>
            <w:r w:rsidRPr="00BE3704">
              <w:rPr>
                <w:spacing w:val="-1"/>
                <w:lang w:val="es-ES"/>
              </w:rPr>
              <w:t>a</w:t>
            </w:r>
            <w:r w:rsidRPr="00BE3704">
              <w:rPr>
                <w:spacing w:val="-3"/>
                <w:lang w:val="es-ES"/>
              </w:rPr>
              <w:t>d</w:t>
            </w:r>
            <w:r w:rsidRPr="00BE3704">
              <w:rPr>
                <w:lang w:val="es-ES"/>
              </w:rPr>
              <w:t>mi</w:t>
            </w:r>
            <w:r w:rsidRPr="00BE3704">
              <w:rPr>
                <w:spacing w:val="1"/>
                <w:lang w:val="es-ES"/>
              </w:rPr>
              <w:t>s</w:t>
            </w:r>
            <w:r w:rsidRPr="00BE3704">
              <w:rPr>
                <w:lang w:val="es-ES"/>
              </w:rPr>
              <w:t>i</w:t>
            </w:r>
            <w:r w:rsidRPr="00BE3704">
              <w:rPr>
                <w:spacing w:val="-1"/>
                <w:lang w:val="es-ES"/>
              </w:rPr>
              <w:t>b</w:t>
            </w:r>
            <w:r w:rsidRPr="00BE3704">
              <w:rPr>
                <w:lang w:val="es-ES"/>
              </w:rPr>
              <w:t>les</w:t>
            </w:r>
            <w:r w:rsidRPr="00BE3704">
              <w:rPr>
                <w:spacing w:val="21"/>
                <w:lang w:val="es-ES"/>
              </w:rPr>
              <w:t xml:space="preserve"> </w:t>
            </w:r>
            <w:r w:rsidRPr="00BE3704">
              <w:rPr>
                <w:lang w:val="es-ES"/>
              </w:rPr>
              <w:t>y</w:t>
            </w:r>
            <w:r w:rsidRPr="00BE3704">
              <w:rPr>
                <w:spacing w:val="22"/>
                <w:lang w:val="es-ES"/>
              </w:rPr>
              <w:t xml:space="preserve"> </w:t>
            </w:r>
            <w:r w:rsidRPr="00BE3704">
              <w:rPr>
                <w:spacing w:val="-1"/>
                <w:lang w:val="es-ES"/>
              </w:rPr>
              <w:t>n</w:t>
            </w:r>
            <w:r w:rsidRPr="00BE3704">
              <w:rPr>
                <w:lang w:val="es-ES"/>
              </w:rPr>
              <w:t>o</w:t>
            </w:r>
            <w:r w:rsidRPr="00BE3704">
              <w:rPr>
                <w:spacing w:val="24"/>
                <w:lang w:val="es-ES"/>
              </w:rPr>
              <w:t xml:space="preserve"> </w:t>
            </w:r>
            <w:r w:rsidRPr="00BE3704">
              <w:rPr>
                <w:lang w:val="es-ES"/>
              </w:rPr>
              <w:t>su</w:t>
            </w:r>
            <w:r w:rsidRPr="00BE3704">
              <w:rPr>
                <w:spacing w:val="-1"/>
                <w:lang w:val="es-ES"/>
              </w:rPr>
              <w:t>p</w:t>
            </w:r>
            <w:r w:rsidRPr="00BE3704">
              <w:rPr>
                <w:lang w:val="es-ES"/>
              </w:rPr>
              <w:t>e</w:t>
            </w:r>
            <w:r w:rsidRPr="00BE3704">
              <w:rPr>
                <w:spacing w:val="1"/>
                <w:lang w:val="es-ES"/>
              </w:rPr>
              <w:t>r</w:t>
            </w:r>
            <w:r>
              <w:rPr>
                <w:spacing w:val="1"/>
                <w:lang w:val="es-ES"/>
              </w:rPr>
              <w:t>an</w:t>
            </w:r>
            <w:r w:rsidRPr="00BE3704">
              <w:rPr>
                <w:spacing w:val="21"/>
                <w:lang w:val="es-ES"/>
              </w:rPr>
              <w:t xml:space="preserve"> </w:t>
            </w:r>
            <w:r w:rsidRPr="00BE3704">
              <w:rPr>
                <w:lang w:val="es-ES"/>
              </w:rPr>
              <w:t>l</w:t>
            </w:r>
            <w:r w:rsidRPr="00BE3704">
              <w:rPr>
                <w:spacing w:val="-1"/>
                <w:lang w:val="es-ES"/>
              </w:rPr>
              <w:t>o</w:t>
            </w:r>
            <w:r w:rsidRPr="00BE3704">
              <w:rPr>
                <w:lang w:val="es-ES"/>
              </w:rPr>
              <w:t>s</w:t>
            </w:r>
            <w:r w:rsidRPr="00BE3704">
              <w:rPr>
                <w:spacing w:val="21"/>
                <w:lang w:val="es-ES"/>
              </w:rPr>
              <w:t xml:space="preserve"> </w:t>
            </w:r>
            <w:r w:rsidRPr="00BE3704">
              <w:rPr>
                <w:spacing w:val="-1"/>
                <w:lang w:val="es-ES"/>
              </w:rPr>
              <w:t>r</w:t>
            </w:r>
            <w:r w:rsidRPr="00BE3704">
              <w:rPr>
                <w:lang w:val="es-ES"/>
              </w:rPr>
              <w:t>iesg</w:t>
            </w:r>
            <w:r w:rsidRPr="00BE3704">
              <w:rPr>
                <w:spacing w:val="-1"/>
                <w:lang w:val="es-ES"/>
              </w:rPr>
              <w:t>o</w:t>
            </w:r>
            <w:r w:rsidRPr="00BE3704">
              <w:rPr>
                <w:lang w:val="es-ES"/>
              </w:rPr>
              <w:t>s mín</w:t>
            </w:r>
            <w:r w:rsidRPr="00BE3704">
              <w:rPr>
                <w:spacing w:val="-1"/>
                <w:lang w:val="es-ES"/>
              </w:rPr>
              <w:t>i</w:t>
            </w:r>
            <w:r w:rsidRPr="00BE3704">
              <w:rPr>
                <w:lang w:val="es-ES"/>
              </w:rPr>
              <w:t>mos</w:t>
            </w:r>
            <w:r w:rsidRPr="00BE3704">
              <w:rPr>
                <w:spacing w:val="3"/>
                <w:lang w:val="es-ES"/>
              </w:rPr>
              <w:t xml:space="preserve"> </w:t>
            </w:r>
            <w:r w:rsidRPr="00BE3704">
              <w:rPr>
                <w:lang w:val="es-ES"/>
              </w:rPr>
              <w:t>en</w:t>
            </w:r>
            <w:r w:rsidRPr="00BE3704">
              <w:rPr>
                <w:spacing w:val="1"/>
                <w:lang w:val="es-ES"/>
              </w:rPr>
              <w:t xml:space="preserve"> </w:t>
            </w:r>
            <w:r w:rsidRPr="00BE3704">
              <w:rPr>
                <w:lang w:val="es-ES"/>
              </w:rPr>
              <w:t>vo</w:t>
            </w:r>
            <w:r w:rsidRPr="00BE3704">
              <w:rPr>
                <w:spacing w:val="-1"/>
                <w:lang w:val="es-ES"/>
              </w:rPr>
              <w:t>lun</w:t>
            </w:r>
            <w:r w:rsidRPr="00BE3704">
              <w:rPr>
                <w:lang w:val="es-ES"/>
              </w:rPr>
              <w:t>ta</w:t>
            </w:r>
            <w:r w:rsidRPr="00BE3704">
              <w:rPr>
                <w:spacing w:val="1"/>
                <w:lang w:val="es-ES"/>
              </w:rPr>
              <w:t>r</w:t>
            </w:r>
            <w:r w:rsidRPr="00BE3704">
              <w:rPr>
                <w:lang w:val="es-ES"/>
              </w:rPr>
              <w:t>i</w:t>
            </w:r>
            <w:r w:rsidRPr="00BE3704">
              <w:rPr>
                <w:spacing w:val="-1"/>
                <w:lang w:val="es-ES"/>
              </w:rPr>
              <w:t>o</w:t>
            </w:r>
            <w:r w:rsidRPr="00BE3704">
              <w:rPr>
                <w:lang w:val="es-ES"/>
              </w:rPr>
              <w:t>s</w:t>
            </w:r>
            <w:r w:rsidRPr="00BE3704">
              <w:rPr>
                <w:spacing w:val="2"/>
                <w:lang w:val="es-ES"/>
              </w:rPr>
              <w:t xml:space="preserve"> </w:t>
            </w:r>
            <w:r w:rsidRPr="00BE3704">
              <w:rPr>
                <w:lang w:val="es-ES"/>
              </w:rPr>
              <w:t>sa</w:t>
            </w:r>
            <w:r w:rsidRPr="00BE3704">
              <w:rPr>
                <w:spacing w:val="-3"/>
                <w:lang w:val="es-ES"/>
              </w:rPr>
              <w:t>n</w:t>
            </w:r>
            <w:r w:rsidRPr="00BE3704">
              <w:rPr>
                <w:lang w:val="es-ES"/>
              </w:rPr>
              <w:t>os,</w:t>
            </w:r>
            <w:r w:rsidRPr="00BE3704">
              <w:rPr>
                <w:spacing w:val="4"/>
                <w:lang w:val="es-ES"/>
              </w:rPr>
              <w:t xml:space="preserve"> </w:t>
            </w:r>
            <w:r w:rsidRPr="00BE3704">
              <w:rPr>
                <w:spacing w:val="-1"/>
                <w:lang w:val="es-ES"/>
              </w:rPr>
              <w:t>n</w:t>
            </w:r>
            <w:r w:rsidRPr="00BE3704">
              <w:rPr>
                <w:lang w:val="es-ES"/>
              </w:rPr>
              <w:t>i</w:t>
            </w:r>
            <w:r w:rsidRPr="00BE3704">
              <w:rPr>
                <w:spacing w:val="2"/>
                <w:lang w:val="es-ES"/>
              </w:rPr>
              <w:t xml:space="preserve"> </w:t>
            </w:r>
            <w:r w:rsidRPr="00BE3704">
              <w:rPr>
                <w:spacing w:val="1"/>
                <w:lang w:val="es-ES"/>
              </w:rPr>
              <w:t>r</w:t>
            </w:r>
            <w:r w:rsidRPr="00BE3704">
              <w:rPr>
                <w:lang w:val="es-ES"/>
              </w:rPr>
              <w:t>i</w:t>
            </w:r>
            <w:r w:rsidRPr="00BE3704">
              <w:rPr>
                <w:spacing w:val="-2"/>
                <w:lang w:val="es-ES"/>
              </w:rPr>
              <w:t>e</w:t>
            </w:r>
            <w:r w:rsidRPr="00BE3704">
              <w:rPr>
                <w:lang w:val="es-ES"/>
              </w:rPr>
              <w:t>sgos</w:t>
            </w:r>
            <w:r w:rsidRPr="00BE3704">
              <w:rPr>
                <w:spacing w:val="1"/>
                <w:lang w:val="es-ES"/>
              </w:rPr>
              <w:t xml:space="preserve"> </w:t>
            </w:r>
            <w:r w:rsidRPr="00BE3704">
              <w:rPr>
                <w:lang w:val="es-ES"/>
              </w:rPr>
              <w:t>exc</w:t>
            </w:r>
            <w:r w:rsidRPr="00BE3704">
              <w:rPr>
                <w:spacing w:val="-2"/>
                <w:lang w:val="es-ES"/>
              </w:rPr>
              <w:t>e</w:t>
            </w:r>
            <w:r w:rsidRPr="00BE3704">
              <w:rPr>
                <w:lang w:val="es-ES"/>
              </w:rPr>
              <w:t>sivos en</w:t>
            </w:r>
            <w:r w:rsidRPr="00BE3704">
              <w:rPr>
                <w:spacing w:val="4"/>
                <w:lang w:val="es-ES"/>
              </w:rPr>
              <w:t xml:space="preserve"> </w:t>
            </w:r>
            <w:r w:rsidRPr="00BE3704">
              <w:rPr>
                <w:lang w:val="es-ES"/>
              </w:rPr>
              <w:t>en</w:t>
            </w:r>
            <w:r w:rsidRPr="00BE3704">
              <w:rPr>
                <w:spacing w:val="-1"/>
                <w:lang w:val="es-ES"/>
              </w:rPr>
              <w:t>f</w:t>
            </w:r>
            <w:r w:rsidRPr="00BE3704">
              <w:rPr>
                <w:spacing w:val="-2"/>
                <w:lang w:val="es-ES"/>
              </w:rPr>
              <w:t>e</w:t>
            </w:r>
            <w:r w:rsidRPr="00BE3704">
              <w:rPr>
                <w:spacing w:val="1"/>
                <w:lang w:val="es-ES"/>
              </w:rPr>
              <w:t>r</w:t>
            </w:r>
            <w:r w:rsidRPr="00BE3704">
              <w:rPr>
                <w:lang w:val="es-ES"/>
              </w:rPr>
              <w:t xml:space="preserve">mos. </w:t>
            </w:r>
            <w:r>
              <w:rPr>
                <w:lang w:val="es-ES"/>
              </w:rPr>
              <w:t>Los pacientes serán informados del procedimiento a seguir.</w:t>
            </w:r>
          </w:p>
          <w:p w:rsidR="00AD72D4" w:rsidRPr="00272835" w:rsidRDefault="00AD72D4" w:rsidP="00AD72D4">
            <w:pPr>
              <w:spacing w:before="8" w:line="100" w:lineRule="exact"/>
              <w:cnfStyle w:val="000000000000" w:firstRow="0" w:lastRow="0" w:firstColumn="0" w:lastColumn="0" w:oddVBand="0" w:evenVBand="0" w:oddHBand="0" w:evenHBand="0" w:firstRowFirstColumn="0" w:firstRowLastColumn="0" w:lastRowFirstColumn="0" w:lastRowLastColumn="0"/>
              <w:rPr>
                <w:sz w:val="10"/>
                <w:szCs w:val="10"/>
                <w:lang w:val="es-ES"/>
              </w:rPr>
            </w:pPr>
          </w:p>
          <w:p w:rsidR="00AD72D4" w:rsidRPr="00272835" w:rsidRDefault="00AD72D4" w:rsidP="00AD72D4">
            <w:pPr>
              <w:spacing w:line="200" w:lineRule="exact"/>
              <w:cnfStyle w:val="000000000000" w:firstRow="0" w:lastRow="0" w:firstColumn="0" w:lastColumn="0" w:oddVBand="0" w:evenVBand="0" w:oddHBand="0" w:evenHBand="0" w:firstRowFirstColumn="0" w:firstRowLastColumn="0" w:lastRowFirstColumn="0" w:lastRowLastColumn="0"/>
              <w:rPr>
                <w:lang w:val="es-ES"/>
              </w:rPr>
            </w:pPr>
          </w:p>
          <w:p w:rsidR="00AD72D4" w:rsidRPr="00D97D42" w:rsidRDefault="00AD72D4" w:rsidP="00AD72D4">
            <w:pPr>
              <w:ind w:right="954"/>
              <w:jc w:val="both"/>
              <w:cnfStyle w:val="000000000000" w:firstRow="0" w:lastRow="0" w:firstColumn="0" w:lastColumn="0" w:oddVBand="0" w:evenVBand="0" w:oddHBand="0" w:evenHBand="0" w:firstRowFirstColumn="0" w:firstRowLastColumn="0" w:lastRowFirstColumn="0" w:lastRowLastColumn="0"/>
            </w:pPr>
            <w:r>
              <w:rPr>
                <w:b/>
                <w:spacing w:val="1"/>
              </w:rPr>
              <w:t>B</w:t>
            </w:r>
            <w:r>
              <w:rPr>
                <w:b/>
                <w:spacing w:val="-2"/>
              </w:rPr>
              <w:t>E</w:t>
            </w:r>
            <w:r>
              <w:rPr>
                <w:b/>
                <w:spacing w:val="1"/>
              </w:rPr>
              <w:t>N</w:t>
            </w:r>
            <w:r>
              <w:rPr>
                <w:b/>
              </w:rPr>
              <w:t>EF</w:t>
            </w:r>
            <w:r>
              <w:rPr>
                <w:b/>
                <w:spacing w:val="-1"/>
              </w:rPr>
              <w:t>I</w:t>
            </w:r>
            <w:r>
              <w:rPr>
                <w:b/>
                <w:spacing w:val="1"/>
              </w:rPr>
              <w:t>CI</w:t>
            </w:r>
            <w:r>
              <w:rPr>
                <w:b/>
              </w:rPr>
              <w:t>O</w:t>
            </w:r>
            <w:r>
              <w:rPr>
                <w:b/>
                <w:spacing w:val="-2"/>
              </w:rPr>
              <w:t>S</w:t>
            </w:r>
            <w:r>
              <w:rPr>
                <w:b/>
              </w:rPr>
              <w:t>:</w:t>
            </w:r>
            <w:r>
              <w:rPr>
                <w:b/>
                <w:spacing w:val="2"/>
              </w:rPr>
              <w:t xml:space="preserve"> </w:t>
            </w:r>
            <w:r>
              <w:rPr>
                <w:b/>
                <w:spacing w:val="1"/>
              </w:rPr>
              <w:tab/>
            </w:r>
            <w:r w:rsidRPr="00D97D42">
              <w:rPr>
                <w:spacing w:val="1"/>
              </w:rPr>
              <w:t xml:space="preserve">Los beneficios </w:t>
            </w:r>
            <w:r w:rsidR="00DA47EF" w:rsidRPr="00D97D42">
              <w:rPr>
                <w:spacing w:val="1"/>
              </w:rPr>
              <w:t>serán</w:t>
            </w:r>
            <w:r w:rsidRPr="00D97D42">
              <w:rPr>
                <w:spacing w:val="1"/>
              </w:rPr>
              <w:t xml:space="preserve"> para </w:t>
            </w:r>
            <w:r>
              <w:rPr>
                <w:spacing w:val="1"/>
              </w:rPr>
              <w:t xml:space="preserve">los pacientes con MPS, que puedan acceder a realizarse los análisis en el país con lo que evitarían costos y tiempos de espera  excesivos. Para pacientes con </w:t>
            </w:r>
            <w:r w:rsidR="00DA47EF">
              <w:rPr>
                <w:spacing w:val="1"/>
              </w:rPr>
              <w:t>síntomas</w:t>
            </w:r>
            <w:r>
              <w:rPr>
                <w:spacing w:val="1"/>
              </w:rPr>
              <w:t xml:space="preserve"> similares a MPS, para descartar o </w:t>
            </w:r>
            <w:r w:rsidR="00DA47EF">
              <w:rPr>
                <w:spacing w:val="1"/>
              </w:rPr>
              <w:t>confirmar</w:t>
            </w:r>
            <w:r>
              <w:rPr>
                <w:spacing w:val="1"/>
              </w:rPr>
              <w:t xml:space="preserve"> la enfermedad y reciban el tratamiento oportuno evitando mayores complicaciones.  </w:t>
            </w:r>
          </w:p>
          <w:p w:rsidR="00AD72D4" w:rsidRDefault="00AD72D4" w:rsidP="00AD72D4">
            <w:pPr>
              <w:contextualSpacing w:val="0"/>
              <w:jc w:val="both"/>
              <w:cnfStyle w:val="000000000000" w:firstRow="0" w:lastRow="0" w:firstColumn="0" w:lastColumn="0" w:oddVBand="0" w:evenVBand="0" w:oddHBand="0" w:evenHBand="0" w:firstRowFirstColumn="0" w:firstRowLastColumn="0" w:lastRowFirstColumn="0" w:lastRowLastColumn="0"/>
            </w:pPr>
          </w:p>
        </w:tc>
      </w:tr>
      <w:tr w:rsidR="00AD72D4"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AD72D4" w:rsidRDefault="00AD72D4" w:rsidP="00AD72D4">
            <w:pPr>
              <w:contextualSpacing w:val="0"/>
              <w:jc w:val="center"/>
            </w:pPr>
            <w:r>
              <w:t>CONFIDENCIALIDAD</w:t>
            </w:r>
          </w:p>
        </w:tc>
        <w:tc>
          <w:tcPr>
            <w:tcW w:w="6706" w:type="dxa"/>
          </w:tcPr>
          <w:p w:rsidR="00AD72D4" w:rsidRDefault="00AD72D4" w:rsidP="00AD72D4">
            <w:pPr>
              <w:contextualSpacing w:val="0"/>
              <w:jc w:val="both"/>
              <w:cnfStyle w:val="000000000000" w:firstRow="0" w:lastRow="0" w:firstColumn="0" w:lastColumn="0" w:oddVBand="0" w:evenVBand="0" w:oddHBand="0" w:evenHBand="0" w:firstRowFirstColumn="0" w:firstRowLastColumn="0" w:lastRowFirstColumn="0" w:lastRowLastColumn="0"/>
            </w:pPr>
            <w:r>
              <w:t>Toda la información obtenida de los pacientes participantes será manejada con absoluta confidencialidad por parte de los investigadores. Los datos de filiación serán utilizados exclusivamente para garantizar la veracidad de los mismos y a estos tendrán acceso solamente los investigadores y organismos de evaluación de la Universidad Central del Ecuador.</w:t>
            </w:r>
          </w:p>
        </w:tc>
      </w:tr>
      <w:tr w:rsidR="00AD72D4"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AD72D4" w:rsidRDefault="00AD72D4" w:rsidP="00AD72D4">
            <w:pPr>
              <w:contextualSpacing w:val="0"/>
              <w:jc w:val="center"/>
            </w:pPr>
            <w:r>
              <w:lastRenderedPageBreak/>
              <w:t>DERECHOS</w:t>
            </w:r>
          </w:p>
        </w:tc>
        <w:tc>
          <w:tcPr>
            <w:tcW w:w="6706" w:type="dxa"/>
          </w:tcPr>
          <w:p w:rsidR="00AD72D4" w:rsidRDefault="00AD72D4" w:rsidP="00AD72D4">
            <w:pPr>
              <w:contextualSpacing w:val="0"/>
              <w:jc w:val="both"/>
              <w:cnfStyle w:val="000000000000" w:firstRow="0" w:lastRow="0" w:firstColumn="0" w:lastColumn="0" w:oddVBand="0" w:evenVBand="0" w:oddHBand="0" w:evenHBand="0" w:firstRowFirstColumn="0" w:firstRowLastColumn="0" w:lastRowFirstColumn="0" w:lastRowLastColumn="0"/>
            </w:pPr>
            <w:r>
              <w:t>La realización de la presente investigación no proporciona ningún derecho a los investigadores, a excepción de los de tipo estrictamente académico.</w:t>
            </w:r>
          </w:p>
        </w:tc>
      </w:tr>
    </w:tbl>
    <w:p w:rsidR="00D4661A" w:rsidRDefault="00D4661A">
      <w:pPr>
        <w:jc w:val="center"/>
      </w:pPr>
    </w:p>
    <w:p w:rsidR="00D4661A" w:rsidRDefault="00A9294D">
      <w:pPr>
        <w:jc w:val="center"/>
      </w:pPr>
      <w:r>
        <w:br/>
      </w:r>
      <w:r>
        <w:rPr>
          <w:b/>
          <w:sz w:val="26"/>
          <w:szCs w:val="26"/>
        </w:rPr>
        <w:t>DECLARATORIA DE CONFIDENCIALIDAD</w:t>
      </w:r>
    </w:p>
    <w:p w:rsidR="00D4661A" w:rsidRDefault="00D4661A">
      <w:pPr>
        <w:spacing w:after="0"/>
        <w:jc w:val="both"/>
      </w:pPr>
    </w:p>
    <w:p w:rsidR="00D4661A" w:rsidRDefault="00A9294D">
      <w:pPr>
        <w:spacing w:after="0"/>
        <w:jc w:val="both"/>
      </w:pPr>
      <w:r>
        <w:rPr>
          <w:sz w:val="24"/>
          <w:szCs w:val="24"/>
        </w:rPr>
        <w:t>Yo/Nosotros,</w:t>
      </w:r>
      <w:r>
        <w:rPr>
          <w:color w:val="0000FF"/>
          <w:sz w:val="24"/>
          <w:szCs w:val="24"/>
        </w:rPr>
        <w:t xml:space="preserve"> (Nombres y Apellidos completos del investigador/a)</w:t>
      </w:r>
      <w:r>
        <w:rPr>
          <w:sz w:val="24"/>
          <w:szCs w:val="24"/>
        </w:rPr>
        <w:t xml:space="preserve">, portador/a de la Cédula de Ciudadanía </w:t>
      </w:r>
      <w:proofErr w:type="spellStart"/>
      <w:r>
        <w:rPr>
          <w:sz w:val="24"/>
          <w:szCs w:val="24"/>
        </w:rPr>
        <w:t>No</w:t>
      </w:r>
      <w:r>
        <w:rPr>
          <w:color w:val="0000FF"/>
          <w:sz w:val="24"/>
          <w:szCs w:val="24"/>
        </w:rPr>
        <w:t>.xxxxxxxxxxxxxxx</w:t>
      </w:r>
      <w:proofErr w:type="spellEnd"/>
      <w:r>
        <w:rPr>
          <w:sz w:val="24"/>
          <w:szCs w:val="24"/>
        </w:rPr>
        <w:t xml:space="preserve">, en mi calidad de </w:t>
      </w:r>
      <w:r>
        <w:rPr>
          <w:i/>
          <w:sz w:val="24"/>
          <w:szCs w:val="24"/>
        </w:rPr>
        <w:t>Investigador/a</w:t>
      </w:r>
      <w:r>
        <w:rPr>
          <w:sz w:val="24"/>
          <w:szCs w:val="24"/>
        </w:rPr>
        <w:t>, dejo expresa constancia de que he proporcionado de manera veraz y fidedigna toda la información referente a la presente investigación; y que utilizaré los datos e información que recolectaré para la misma, así como cualquier resultado que se obtenga de la investigación EXCLUSIVAMENTE para fines académicos, de acuerdo con la descripción de confidencialidad antes detallada en este documento.</w:t>
      </w:r>
    </w:p>
    <w:p w:rsidR="00D4661A" w:rsidRDefault="00D4661A">
      <w:pPr>
        <w:spacing w:after="0"/>
        <w:jc w:val="both"/>
      </w:pPr>
    </w:p>
    <w:p w:rsidR="00D4661A" w:rsidRDefault="00A9294D">
      <w:pPr>
        <w:spacing w:after="0"/>
        <w:jc w:val="both"/>
      </w:pPr>
      <w:r>
        <w:rPr>
          <w:sz w:val="24"/>
          <w:szCs w:val="24"/>
        </w:rPr>
        <w:t>Además, soy consciente de las implicaciones legales de la utilización de los datos, información y resultados recolectados o producidos por esta investigación con cualquier otra finalidad que no sea la estrictamente académica y sin el consentimiento informado de los pacientes participantes.</w:t>
      </w:r>
    </w:p>
    <w:p w:rsidR="00D4661A" w:rsidRDefault="00A9294D">
      <w:pPr>
        <w:spacing w:after="0"/>
        <w:jc w:val="both"/>
      </w:pPr>
      <w:r>
        <w:rPr>
          <w:sz w:val="24"/>
          <w:szCs w:val="24"/>
        </w:rPr>
        <w:t>En fe y constancia de aceptación de estos términos, firmo como Autor/a de la investigación</w:t>
      </w:r>
    </w:p>
    <w:p w:rsidR="00D4661A" w:rsidRDefault="00D4661A">
      <w:pPr>
        <w:spacing w:after="0"/>
        <w:jc w:val="both"/>
      </w:pPr>
    </w:p>
    <w:p w:rsidR="00D4661A" w:rsidRDefault="00D4661A">
      <w:pPr>
        <w:spacing w:after="0"/>
        <w:jc w:val="both"/>
      </w:pPr>
    </w:p>
    <w:tbl>
      <w:tblPr>
        <w:tblStyle w:val="a0"/>
        <w:tblW w:w="882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943"/>
        <w:gridCol w:w="2943"/>
        <w:gridCol w:w="2942"/>
      </w:tblGrid>
      <w:tr w:rsidR="00D4661A" w:rsidTr="00D46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center"/>
          </w:tcPr>
          <w:p w:rsidR="00D4661A" w:rsidRDefault="00A9294D">
            <w:pPr>
              <w:contextualSpacing w:val="0"/>
              <w:jc w:val="center"/>
            </w:pPr>
            <w:r>
              <w:rPr>
                <w:sz w:val="18"/>
                <w:szCs w:val="18"/>
              </w:rPr>
              <w:t>NOMBRE INVESTIGADOR</w:t>
            </w:r>
            <w:r w:rsidR="00F870A3">
              <w:rPr>
                <w:sz w:val="18"/>
                <w:szCs w:val="18"/>
              </w:rPr>
              <w:t>A</w:t>
            </w:r>
          </w:p>
        </w:tc>
        <w:tc>
          <w:tcPr>
            <w:tcW w:w="2943" w:type="dxa"/>
            <w:vAlign w:val="center"/>
          </w:tcPr>
          <w:p w:rsidR="00D4661A" w:rsidRDefault="00A9294D">
            <w:pPr>
              <w:contextualSpacing w:val="0"/>
              <w:jc w:val="center"/>
              <w:cnfStyle w:val="100000000000" w:firstRow="1" w:lastRow="0" w:firstColumn="0" w:lastColumn="0" w:oddVBand="0" w:evenVBand="0" w:oddHBand="0" w:evenHBand="0" w:firstRowFirstColumn="0" w:firstRowLastColumn="0" w:lastRowFirstColumn="0" w:lastRowLastColumn="0"/>
            </w:pPr>
            <w:r>
              <w:rPr>
                <w:sz w:val="18"/>
                <w:szCs w:val="18"/>
              </w:rPr>
              <w:t>CÉDULA IDENTIDAD</w:t>
            </w:r>
          </w:p>
        </w:tc>
        <w:tc>
          <w:tcPr>
            <w:tcW w:w="2942" w:type="dxa"/>
            <w:vAlign w:val="center"/>
          </w:tcPr>
          <w:p w:rsidR="00D4661A" w:rsidRDefault="00A9294D">
            <w:pPr>
              <w:contextualSpacing w:val="0"/>
              <w:jc w:val="center"/>
              <w:cnfStyle w:val="100000000000" w:firstRow="1" w:lastRow="0" w:firstColumn="0" w:lastColumn="0" w:oddVBand="0" w:evenVBand="0" w:oddHBand="0" w:evenHBand="0" w:firstRowFirstColumn="0" w:firstRowLastColumn="0" w:lastRowFirstColumn="0" w:lastRowLastColumn="0"/>
            </w:pPr>
            <w:r>
              <w:rPr>
                <w:sz w:val="18"/>
                <w:szCs w:val="18"/>
              </w:rPr>
              <w:t>FIRMA</w:t>
            </w:r>
          </w:p>
        </w:tc>
      </w:tr>
      <w:tr w:rsidR="00D4661A" w:rsidTr="00D4661A">
        <w:trPr>
          <w:trHeight w:val="20"/>
        </w:trPr>
        <w:tc>
          <w:tcPr>
            <w:cnfStyle w:val="001000000000" w:firstRow="0" w:lastRow="0" w:firstColumn="1" w:lastColumn="0" w:oddVBand="0" w:evenVBand="0" w:oddHBand="0" w:evenHBand="0" w:firstRowFirstColumn="0" w:firstRowLastColumn="0" w:lastRowFirstColumn="0" w:lastRowLastColumn="0"/>
            <w:tcW w:w="2943" w:type="dxa"/>
            <w:vAlign w:val="center"/>
          </w:tcPr>
          <w:p w:rsidR="00D4661A" w:rsidRDefault="00F870A3">
            <w:pPr>
              <w:contextualSpacing w:val="0"/>
            </w:pPr>
            <w:r>
              <w:t>Aguilar Alfaro Alba Walkyrie</w:t>
            </w:r>
          </w:p>
        </w:tc>
        <w:tc>
          <w:tcPr>
            <w:tcW w:w="2943" w:type="dxa"/>
            <w:vAlign w:val="center"/>
          </w:tcPr>
          <w:p w:rsidR="00D4661A" w:rsidRDefault="00F870A3">
            <w:pPr>
              <w:contextualSpacing w:val="0"/>
              <w:cnfStyle w:val="000000000000" w:firstRow="0" w:lastRow="0" w:firstColumn="0" w:lastColumn="0" w:oddVBand="0" w:evenVBand="0" w:oddHBand="0" w:evenHBand="0" w:firstRowFirstColumn="0" w:firstRowLastColumn="0" w:lastRowFirstColumn="0" w:lastRowLastColumn="0"/>
            </w:pPr>
            <w:r>
              <w:t>1704992856</w:t>
            </w:r>
          </w:p>
        </w:tc>
        <w:tc>
          <w:tcPr>
            <w:tcW w:w="2942" w:type="dxa"/>
            <w:vAlign w:val="center"/>
          </w:tcPr>
          <w:p w:rsidR="00D4661A" w:rsidRDefault="00D4661A">
            <w:pPr>
              <w:contextualSpacing w:val="0"/>
              <w:cnfStyle w:val="000000000000" w:firstRow="0" w:lastRow="0" w:firstColumn="0" w:lastColumn="0" w:oddVBand="0" w:evenVBand="0" w:oddHBand="0" w:evenHBand="0" w:firstRowFirstColumn="0" w:firstRowLastColumn="0" w:lastRowFirstColumn="0" w:lastRowLastColumn="0"/>
            </w:pPr>
          </w:p>
        </w:tc>
      </w:tr>
    </w:tbl>
    <w:p w:rsidR="00D4661A" w:rsidRDefault="00D4661A">
      <w:pPr>
        <w:spacing w:after="0"/>
        <w:jc w:val="both"/>
      </w:pPr>
    </w:p>
    <w:p w:rsidR="00D4661A" w:rsidRDefault="00D4661A">
      <w:pPr>
        <w:spacing w:after="0"/>
        <w:jc w:val="both"/>
        <w:rPr>
          <w:sz w:val="24"/>
          <w:szCs w:val="24"/>
        </w:rPr>
      </w:pPr>
    </w:p>
    <w:p w:rsidR="00D4661A" w:rsidRDefault="00F870A3">
      <w:pPr>
        <w:spacing w:after="0"/>
        <w:jc w:val="both"/>
      </w:pPr>
      <w:r>
        <w:rPr>
          <w:sz w:val="24"/>
          <w:szCs w:val="24"/>
        </w:rPr>
        <w:t xml:space="preserve">  Quito, 30</w:t>
      </w:r>
      <w:r w:rsidR="00A9294D">
        <w:rPr>
          <w:sz w:val="24"/>
          <w:szCs w:val="24"/>
        </w:rPr>
        <w:t xml:space="preserve"> de </w:t>
      </w:r>
      <w:r>
        <w:rPr>
          <w:sz w:val="24"/>
          <w:szCs w:val="24"/>
        </w:rPr>
        <w:t>noviembre de</w:t>
      </w:r>
      <w:r w:rsidR="00A9294D">
        <w:rPr>
          <w:sz w:val="24"/>
          <w:szCs w:val="24"/>
        </w:rPr>
        <w:t xml:space="preserve"> </w:t>
      </w:r>
      <w:r w:rsidR="00A9294D">
        <w:rPr>
          <w:color w:val="0000FF"/>
          <w:sz w:val="24"/>
          <w:szCs w:val="24"/>
        </w:rPr>
        <w:t>201</w:t>
      </w:r>
      <w:r>
        <w:rPr>
          <w:color w:val="0000FF"/>
          <w:sz w:val="24"/>
          <w:szCs w:val="24"/>
        </w:rPr>
        <w:t>7</w:t>
      </w:r>
    </w:p>
    <w:sectPr w:rsidR="00D4661A">
      <w:headerReference w:type="default" r:id="rId8"/>
      <w:footerReference w:type="default" r:id="rId9"/>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10" w:rsidRDefault="00BA0A10">
      <w:pPr>
        <w:spacing w:after="0" w:line="240" w:lineRule="auto"/>
      </w:pPr>
      <w:r>
        <w:separator/>
      </w:r>
    </w:p>
  </w:endnote>
  <w:endnote w:type="continuationSeparator" w:id="0">
    <w:p w:rsidR="00BA0A10" w:rsidRDefault="00BA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1A" w:rsidRDefault="00D4661A">
    <w:pPr>
      <w:widowControl w:val="0"/>
      <w:spacing w:after="0"/>
    </w:pPr>
  </w:p>
  <w:tbl>
    <w:tblPr>
      <w:tblStyle w:val="a1"/>
      <w:tblW w:w="8838" w:type="dxa"/>
      <w:tblInd w:w="-115" w:type="dxa"/>
      <w:tblLayout w:type="fixed"/>
      <w:tblLook w:val="0400" w:firstRow="0" w:lastRow="0" w:firstColumn="0" w:lastColumn="0" w:noHBand="0" w:noVBand="1"/>
    </w:tblPr>
    <w:tblGrid>
      <w:gridCol w:w="2946"/>
      <w:gridCol w:w="2946"/>
      <w:gridCol w:w="2946"/>
    </w:tblGrid>
    <w:tr w:rsidR="00D4661A">
      <w:tc>
        <w:tcPr>
          <w:tcW w:w="2946" w:type="dxa"/>
        </w:tcPr>
        <w:p w:rsidR="00D4661A" w:rsidRDefault="00D4661A">
          <w:pPr>
            <w:tabs>
              <w:tab w:val="center" w:pos="4419"/>
              <w:tab w:val="right" w:pos="8838"/>
            </w:tabs>
            <w:spacing w:after="708" w:line="240" w:lineRule="auto"/>
            <w:ind w:left="-115"/>
          </w:pPr>
        </w:p>
      </w:tc>
      <w:tc>
        <w:tcPr>
          <w:tcW w:w="2946" w:type="dxa"/>
        </w:tcPr>
        <w:p w:rsidR="00D4661A" w:rsidRDefault="00D4661A">
          <w:pPr>
            <w:tabs>
              <w:tab w:val="center" w:pos="4419"/>
              <w:tab w:val="right" w:pos="8838"/>
            </w:tabs>
            <w:spacing w:after="708" w:line="240" w:lineRule="auto"/>
            <w:jc w:val="center"/>
          </w:pPr>
        </w:p>
      </w:tc>
      <w:tc>
        <w:tcPr>
          <w:tcW w:w="2946" w:type="dxa"/>
        </w:tcPr>
        <w:p w:rsidR="00D4661A" w:rsidRDefault="00D4661A">
          <w:pPr>
            <w:tabs>
              <w:tab w:val="center" w:pos="4419"/>
              <w:tab w:val="right" w:pos="8838"/>
            </w:tabs>
            <w:spacing w:after="708" w:line="240" w:lineRule="auto"/>
            <w:ind w:right="-115"/>
            <w:jc w:val="right"/>
          </w:pPr>
        </w:p>
      </w:tc>
    </w:tr>
  </w:tbl>
  <w:p w:rsidR="00D4661A" w:rsidRDefault="00D4661A">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10" w:rsidRDefault="00BA0A10">
      <w:pPr>
        <w:spacing w:after="0" w:line="240" w:lineRule="auto"/>
      </w:pPr>
      <w:r>
        <w:separator/>
      </w:r>
    </w:p>
  </w:footnote>
  <w:footnote w:type="continuationSeparator" w:id="0">
    <w:p w:rsidR="00BA0A10" w:rsidRDefault="00BA0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1A" w:rsidRDefault="00D4661A">
    <w:pPr>
      <w:tabs>
        <w:tab w:val="center" w:pos="4419"/>
        <w:tab w:val="right" w:pos="8838"/>
      </w:tabs>
      <w:spacing w:after="0" w:line="240" w:lineRule="auto"/>
      <w:rPr>
        <w:b/>
      </w:rPr>
    </w:pPr>
  </w:p>
  <w:p w:rsidR="00D4661A" w:rsidRDefault="00A9294D">
    <w:pPr>
      <w:tabs>
        <w:tab w:val="center" w:pos="4419"/>
        <w:tab w:val="right" w:pos="8838"/>
      </w:tabs>
      <w:spacing w:after="0" w:line="240" w:lineRule="auto"/>
      <w:jc w:val="center"/>
      <w:rPr>
        <w:b/>
      </w:rPr>
    </w:pPr>
    <w:r>
      <w:rPr>
        <w:noProof/>
      </w:rPr>
      <w:drawing>
        <wp:inline distT="0" distB="0" distL="0" distR="0">
          <wp:extent cx="830659" cy="833438"/>
          <wp:effectExtent l="0" t="0" r="0" b="0"/>
          <wp:docPr id="1" name="image2.jpg" descr="File:Sellouce.JPEG"/>
          <wp:cNvGraphicFramePr/>
          <a:graphic xmlns:a="http://schemas.openxmlformats.org/drawingml/2006/main">
            <a:graphicData uri="http://schemas.openxmlformats.org/drawingml/2006/picture">
              <pic:pic xmlns:pic="http://schemas.openxmlformats.org/drawingml/2006/picture">
                <pic:nvPicPr>
                  <pic:cNvPr id="0" name="image2.jpg" descr="File:Sellouce.JPEG"/>
                  <pic:cNvPicPr preferRelativeResize="0"/>
                </pic:nvPicPr>
                <pic:blipFill>
                  <a:blip r:embed="rId1"/>
                  <a:srcRect/>
                  <a:stretch>
                    <a:fillRect/>
                  </a:stretch>
                </pic:blipFill>
                <pic:spPr>
                  <a:xfrm>
                    <a:off x="0" y="0"/>
                    <a:ext cx="830659" cy="833438"/>
                  </a:xfrm>
                  <a:prstGeom prst="rect">
                    <a:avLst/>
                  </a:prstGeom>
                  <a:ln/>
                </pic:spPr>
              </pic:pic>
            </a:graphicData>
          </a:graphic>
        </wp:inline>
      </w:drawing>
    </w:r>
  </w:p>
  <w:p w:rsidR="00D4661A" w:rsidRDefault="00A9294D">
    <w:pPr>
      <w:tabs>
        <w:tab w:val="center" w:pos="4419"/>
        <w:tab w:val="right" w:pos="8838"/>
      </w:tabs>
      <w:spacing w:after="0" w:line="240" w:lineRule="auto"/>
      <w:jc w:val="center"/>
      <w:rPr>
        <w:b/>
      </w:rPr>
    </w:pPr>
    <w:r>
      <w:rPr>
        <w:b/>
      </w:rPr>
      <w:t>UNIVERSIDAD CENTRAL DEL ECUADOR</w:t>
    </w:r>
  </w:p>
  <w:p w:rsidR="00D4661A" w:rsidRDefault="00A9294D">
    <w:pPr>
      <w:tabs>
        <w:tab w:val="center" w:pos="4419"/>
        <w:tab w:val="right" w:pos="8838"/>
      </w:tabs>
      <w:spacing w:after="0" w:line="240" w:lineRule="auto"/>
      <w:jc w:val="center"/>
    </w:pPr>
    <w:r>
      <w:t>SUBCOMITÉ DE ÉTICA DE INVESTIGACIÓN EN SERES HUMANOS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81B"/>
    <w:multiLevelType w:val="hybridMultilevel"/>
    <w:tmpl w:val="801AEB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FB36D04"/>
    <w:multiLevelType w:val="multilevel"/>
    <w:tmpl w:val="275EBC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1A"/>
    <w:rsid w:val="000C2D82"/>
    <w:rsid w:val="001C582B"/>
    <w:rsid w:val="001D1EBD"/>
    <w:rsid w:val="001E0510"/>
    <w:rsid w:val="003143FA"/>
    <w:rsid w:val="00321FBC"/>
    <w:rsid w:val="0051241C"/>
    <w:rsid w:val="005D787D"/>
    <w:rsid w:val="00933439"/>
    <w:rsid w:val="00A06F27"/>
    <w:rsid w:val="00A8064A"/>
    <w:rsid w:val="00A9294D"/>
    <w:rsid w:val="00AD72D4"/>
    <w:rsid w:val="00B57080"/>
    <w:rsid w:val="00BA0A10"/>
    <w:rsid w:val="00BD7E43"/>
    <w:rsid w:val="00C97DE8"/>
    <w:rsid w:val="00D4661A"/>
    <w:rsid w:val="00DA47EF"/>
    <w:rsid w:val="00DD3DB4"/>
    <w:rsid w:val="00EA1660"/>
    <w:rsid w:val="00F870A3"/>
    <w:rsid w:val="00FF72F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C" w:eastAsia="es-EC"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0">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AD72D4"/>
    <w:pPr>
      <w:ind w:left="720"/>
      <w:contextualSpacing/>
    </w:pPr>
  </w:style>
  <w:style w:type="paragraph" w:styleId="Textodeglobo">
    <w:name w:val="Balloon Text"/>
    <w:basedOn w:val="Normal"/>
    <w:link w:val="TextodegloboCar"/>
    <w:uiPriority w:val="99"/>
    <w:semiHidden/>
    <w:unhideWhenUsed/>
    <w:rsid w:val="009334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C" w:eastAsia="es-EC"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0">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AD72D4"/>
    <w:pPr>
      <w:ind w:left="720"/>
      <w:contextualSpacing/>
    </w:pPr>
  </w:style>
  <w:style w:type="paragraph" w:styleId="Textodeglobo">
    <w:name w:val="Balloon Text"/>
    <w:basedOn w:val="Normal"/>
    <w:link w:val="TextodegloboCar"/>
    <w:uiPriority w:val="99"/>
    <w:semiHidden/>
    <w:unhideWhenUsed/>
    <w:rsid w:val="009334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MARCELO SALAZAR MANOSALVAS</dc:creator>
  <cp:lastModifiedBy>PERSONAL</cp:lastModifiedBy>
  <cp:revision>2</cp:revision>
  <dcterms:created xsi:type="dcterms:W3CDTF">2017-12-11T21:48:00Z</dcterms:created>
  <dcterms:modified xsi:type="dcterms:W3CDTF">2017-12-11T21:48:00Z</dcterms:modified>
</cp:coreProperties>
</file>