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PROYECTO SEMILLA FASE 4</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SEGUNDO INFORME DE ACTIVIDADES REALIZADAS</w:t>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30 de enero de 2019</w:t>
      </w:r>
    </w:p>
    <w:p>
      <w:pPr>
        <w:pStyle w:val="Normal"/>
        <w:spacing w:lineRule="auto" w:line="360"/>
        <w:jc w:val="both"/>
        <w:rPr>
          <w:rFonts w:ascii="Times New Roman" w:hAnsi="Times New Roman" w:eastAsia="Arial" w:cs="Times New Roman"/>
          <w:sz w:val="24"/>
          <w:szCs w:val="24"/>
        </w:rPr>
      </w:pPr>
      <w:r>
        <w:rPr>
          <w:rFonts w:eastAsia="Arial" w:cs="Times New Roman" w:ascii="Times New Roman" w:hAnsi="Times New Roman"/>
          <w:b/>
          <w:sz w:val="24"/>
          <w:szCs w:val="24"/>
        </w:rPr>
        <w:t>Proyecto:</w:t>
      </w:r>
      <w:r>
        <w:rPr>
          <w:rFonts w:eastAsia="Arial" w:cs="Times New Roman" w:ascii="Times New Roman" w:hAnsi="Times New Roman"/>
          <w:sz w:val="24"/>
          <w:szCs w:val="24"/>
        </w:rPr>
        <w:t xml:space="preserve"> Estrategias de reproducción que adoptan las estructuras familiares supeditadas al sistema punitivo del Estado debido a la participación de varios de sus miembros en el microtráfico de drogas, en Quito, a partir de 1980.</w:t>
      </w:r>
    </w:p>
    <w:p>
      <w:pPr>
        <w:pStyle w:val="Normal"/>
        <w:spacing w:lineRule="auto" w:line="360"/>
        <w:jc w:val="both"/>
        <w:rPr>
          <w:rFonts w:ascii="Times New Roman" w:hAnsi="Times New Roman" w:eastAsia="Arial" w:cs="Times New Roman"/>
          <w:b/>
          <w:b/>
          <w:sz w:val="24"/>
          <w:szCs w:val="24"/>
        </w:rPr>
      </w:pPr>
      <w:r>
        <w:rPr/>
      </w:r>
    </w:p>
    <w:p>
      <w:pPr>
        <w:pStyle w:val="Normal"/>
        <w:spacing w:lineRule="auto" w:line="360"/>
        <w:jc w:val="both"/>
        <w:rPr>
          <w:rFonts w:ascii="Times New Roman" w:hAnsi="Times New Roman" w:eastAsia="Arial" w:cs="Times New Roman"/>
          <w:sz w:val="24"/>
          <w:szCs w:val="24"/>
        </w:rPr>
      </w:pPr>
      <w:r>
        <w:rPr>
          <w:rFonts w:eastAsia="Arial" w:cs="Times New Roman" w:ascii="Times New Roman" w:hAnsi="Times New Roman"/>
          <w:b/>
          <w:sz w:val="24"/>
          <w:szCs w:val="24"/>
        </w:rPr>
        <w:t>Equipo de investigación</w:t>
      </w:r>
      <w:r>
        <w:rPr>
          <w:rFonts w:eastAsia="Arial" w:cs="Times New Roman" w:ascii="Times New Roman" w:hAnsi="Times New Roman"/>
          <w:sz w:val="24"/>
          <w:szCs w:val="24"/>
        </w:rPr>
        <w:t>: Dra. Andrea Aguirre (directora), Dra. María Augusta Espín (profesora investigadora), Msc. Abel Arias (profesor investigador), Typhaine Leon (investigadora contratada) Jahirén Noriega (estudiante asistente de investigación).</w:t>
      </w:r>
    </w:p>
    <w:p>
      <w:pPr>
        <w:pStyle w:val="Normal"/>
        <w:spacing w:lineRule="auto" w:line="360"/>
        <w:jc w:val="both"/>
        <w:rPr>
          <w:rFonts w:ascii="Times New Roman" w:hAnsi="Times New Roman" w:eastAsia="Arial" w:cs="Times New Roman"/>
          <w:b/>
          <w:b/>
          <w:sz w:val="24"/>
          <w:szCs w:val="24"/>
        </w:rPr>
      </w:pPr>
      <w:r>
        <w:rPr/>
      </w:r>
    </w:p>
    <w:p>
      <w:pPr>
        <w:pStyle w:val="Normal"/>
        <w:spacing w:lineRule="auto" w:line="360"/>
        <w:jc w:val="both"/>
        <w:rPr>
          <w:rFonts w:ascii="Times New Roman" w:hAnsi="Times New Roman" w:cs="Times New Roman"/>
          <w:sz w:val="24"/>
          <w:szCs w:val="24"/>
        </w:rPr>
      </w:pPr>
      <w:r>
        <w:rPr>
          <w:rFonts w:eastAsia="Arial" w:cs="Times New Roman" w:ascii="Times New Roman" w:hAnsi="Times New Roman"/>
          <w:b/>
          <w:sz w:val="24"/>
          <w:szCs w:val="24"/>
        </w:rPr>
        <w:t>Actividades realizadas</w:t>
      </w:r>
      <w:r>
        <w:rPr>
          <w:rFonts w:eastAsia="Arial" w:cs="Times New Roman" w:ascii="Times New Roman" w:hAnsi="Times New Roman"/>
          <w:sz w:val="24"/>
          <w:szCs w:val="24"/>
        </w:rPr>
        <w:t>: Como se planteó en el cronograma, el proceso de producción de un archivo de prensa (anotado en el primer informe como culminado) y el trabajo de revisión bibli</w:t>
      </w:r>
      <w:bookmarkStart w:id="0" w:name="_GoBack"/>
      <w:bookmarkEnd w:id="0"/>
      <w:r>
        <w:rPr>
          <w:rFonts w:eastAsia="Arial" w:cs="Times New Roman" w:ascii="Times New Roman" w:hAnsi="Times New Roman"/>
          <w:sz w:val="24"/>
          <w:szCs w:val="24"/>
        </w:rPr>
        <w:t xml:space="preserve">ográfica (anotado en el primer informe como trabajo en proceso), ha culminado. Así mismo, y a pesar de las dificultades presupuestarias, el trabajo de acompañamiento etnográfico se realizó con normalidad y la investigadora contratada ha entregado un informe completo de actividades que he recibido conforme como Directora del proyecto. </w:t>
      </w:r>
    </w:p>
    <w:p>
      <w:pPr>
        <w:pStyle w:val="Normal"/>
        <w:spacing w:lineRule="auto" w:line="360"/>
        <w:jc w:val="both"/>
        <w:rPr>
          <w:rFonts w:ascii="Times New Roman" w:hAnsi="Times New Roman" w:eastAsia="Arial" w:cs="Times New Roman"/>
          <w:bCs/>
          <w:sz w:val="24"/>
          <w:szCs w:val="24"/>
        </w:rPr>
      </w:pPr>
      <w:r>
        <w:rPr>
          <w:rFonts w:eastAsia="Arial" w:cs="Times New Roman" w:ascii="Times New Roman" w:hAnsi="Times New Roman"/>
          <w:sz w:val="24"/>
          <w:szCs w:val="24"/>
        </w:rPr>
        <w:tab/>
        <w:t xml:space="preserve">El trabajo de producción de historias de vida y entrevistas a profundidad con mujeres de las familias sujeto de esta investigación y con funcionarios ha iniciado, pero deberá prolongarse durante el próximo semestre debido a la dificultad presupuestaria superada entre noviembre y diciembre de 2018, que normalizó tardíamente el acuerdo con la organización con la que cooperamos para el desarrollo de esta investigación: Mujeres de Frente / Fundación Rurubana. De la misma manera, avanza con normalidad, pero no sin retraso calculado en tres meses el análisis </w:t>
      </w:r>
      <w:r>
        <w:rPr>
          <w:rFonts w:eastAsia="Arial" w:cs="Times New Roman" w:ascii="Times New Roman" w:hAnsi="Times New Roman"/>
          <w:bCs/>
          <w:sz w:val="24"/>
          <w:szCs w:val="24"/>
        </w:rPr>
        <w:t>del archivo de prensa.</w:t>
      </w:r>
    </w:p>
    <w:p>
      <w:pPr>
        <w:pStyle w:val="Normal"/>
        <w:spacing w:lineRule="auto" w:line="360"/>
        <w:jc w:val="both"/>
        <w:rPr>
          <w:rFonts w:ascii="Times New Roman" w:hAnsi="Times New Roman" w:cs="Times New Roman"/>
          <w:sz w:val="24"/>
          <w:szCs w:val="24"/>
        </w:rPr>
      </w:pPr>
      <w:r>
        <w:rPr/>
      </w:r>
    </w:p>
    <w:p>
      <w:pPr>
        <w:pStyle w:val="Normal"/>
        <w:spacing w:lineRule="auto" w:line="360"/>
        <w:jc w:val="both"/>
        <w:rPr/>
      </w:pPr>
      <w:r>
        <w:rPr>
          <w:rFonts w:cs="Times New Roman" w:ascii="Times New Roman" w:hAnsi="Times New Roman"/>
          <w:sz w:val="24"/>
          <w:szCs w:val="24"/>
        </w:rPr>
        <w:t>G</w:t>
      </w:r>
      <w:r>
        <w:rPr>
          <w:rFonts w:cs="Times New Roman" w:ascii="Times New Roman" w:hAnsi="Times New Roman"/>
          <w:b/>
          <w:sz w:val="24"/>
          <w:szCs w:val="24"/>
        </w:rPr>
        <w:t xml:space="preserve">estión presupuestaria: </w:t>
      </w:r>
      <w:r>
        <w:rPr>
          <w:rFonts w:cs="Times New Roman" w:ascii="Times New Roman" w:hAnsi="Times New Roman"/>
          <w:b w:val="false"/>
          <w:bCs w:val="false"/>
          <w:sz w:val="24"/>
          <w:szCs w:val="24"/>
        </w:rPr>
        <w:t>D</w:t>
      </w:r>
      <w:r>
        <w:rPr>
          <w:rFonts w:cs="Times New Roman" w:ascii="Times New Roman" w:hAnsi="Times New Roman"/>
          <w:sz w:val="24"/>
          <w:szCs w:val="24"/>
        </w:rPr>
        <w:t>e los fondos asignados para el presente proyecto (USD 3000.00) se desglosa a continuación el estado de ejecución del mismo:</w:t>
      </w:r>
    </w:p>
    <w:tbl>
      <w:tblPr>
        <w:tblStyle w:val="Tablaconcuadrcula"/>
        <w:tblW w:w="8494" w:type="dxa"/>
        <w:jc w:val="left"/>
        <w:tblInd w:w="0" w:type="dxa"/>
        <w:tblCellMar>
          <w:top w:w="0" w:type="dxa"/>
          <w:left w:w="108" w:type="dxa"/>
          <w:bottom w:w="0" w:type="dxa"/>
          <w:right w:w="108" w:type="dxa"/>
        </w:tblCellMar>
        <w:tblLook w:noVBand="1" w:val="04a0" w:noHBand="0" w:lastColumn="0" w:firstColumn="1" w:lastRow="0" w:firstRow="1"/>
      </w:tblPr>
      <w:tblGrid>
        <w:gridCol w:w="2831"/>
        <w:gridCol w:w="2831"/>
        <w:gridCol w:w="2832"/>
      </w:tblGrid>
      <w:tr>
        <w:trPr/>
        <w:tc>
          <w:tcPr>
            <w:tcW w:w="2831"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DESCRIPCIÓN</w:t>
            </w:r>
          </w:p>
        </w:tc>
        <w:tc>
          <w:tcPr>
            <w:tcW w:w="2831"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MONTO </w:t>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ESTADO </w:t>
            </w:r>
          </w:p>
        </w:tc>
      </w:tr>
      <w:tr>
        <w:trPr/>
        <w:tc>
          <w:tcPr>
            <w:tcW w:w="283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Transporte movilización a barrios y escuelas donde viven los sujetos de investigación</w:t>
            </w:r>
          </w:p>
        </w:tc>
        <w:tc>
          <w:tcPr>
            <w:tcW w:w="2831"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USD 380.00</w:t>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Ejecutado </w:t>
            </w:r>
          </w:p>
        </w:tc>
      </w:tr>
      <w:tr>
        <w:trPr>
          <w:trHeight w:val="416" w:hRule="atLeast"/>
        </w:trPr>
        <w:tc>
          <w:tcPr>
            <w:tcW w:w="2831" w:type="dxa"/>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Fotocopias e impresiones </w:t>
            </w:r>
          </w:p>
        </w:tc>
        <w:tc>
          <w:tcPr>
            <w:tcW w:w="2831" w:type="dxa"/>
            <w:tcBorders/>
            <w:shd w:fill="auto" w:val="clear"/>
          </w:tcPr>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USD 96,00</w:t>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Ejecutado </w:t>
            </w:r>
          </w:p>
        </w:tc>
      </w:tr>
      <w:tr>
        <w:trPr/>
        <w:tc>
          <w:tcPr>
            <w:tcW w:w="283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Contratación de servicios profesionales de un/a especialista en análisis de familias en entornos penitenciarios. Con una duración de 1 mes </w:t>
            </w:r>
          </w:p>
        </w:tc>
        <w:tc>
          <w:tcPr>
            <w:tcW w:w="2831" w:type="dxa"/>
            <w:tcBorders/>
            <w:shd w:fill="auto" w:val="clear"/>
          </w:tcPr>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USD 1675,52</w:t>
            </w:r>
          </w:p>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Ejecutado </w:t>
            </w:r>
          </w:p>
        </w:tc>
      </w:tr>
      <w:tr>
        <w:trPr/>
        <w:tc>
          <w:tcPr>
            <w:tcW w:w="283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Alimentos y bebidas (compensación para los sujetos de estudio de la investigación)</w:t>
            </w:r>
          </w:p>
        </w:tc>
        <w:tc>
          <w:tcPr>
            <w:tcW w:w="2831" w:type="dxa"/>
            <w:tcBorders/>
            <w:shd w:fill="auto" w:val="clear"/>
          </w:tcPr>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USD 744,56</w:t>
            </w:r>
          </w:p>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Ejecutado </w:t>
            </w:r>
          </w:p>
        </w:tc>
      </w:tr>
      <w:tr>
        <w:trPr/>
        <w:tc>
          <w:tcPr>
            <w:tcW w:w="283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Materiales de oficina </w:t>
            </w:r>
          </w:p>
        </w:tc>
        <w:tc>
          <w:tcPr>
            <w:tcW w:w="2831" w:type="dxa"/>
            <w:tcBorders/>
            <w:shd w:fill="auto" w:val="clear"/>
          </w:tcPr>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USD 60,69</w:t>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Ejecutado</w:t>
            </w:r>
          </w:p>
        </w:tc>
      </w:tr>
      <w:tr>
        <w:trPr/>
        <w:tc>
          <w:tcPr>
            <w:tcW w:w="2831"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Material de aseo </w:t>
            </w:r>
          </w:p>
        </w:tc>
        <w:tc>
          <w:tcPr>
            <w:tcW w:w="2831" w:type="dxa"/>
            <w:tcBorders/>
            <w:shd w:fill="auto" w:val="clear"/>
          </w:tcPr>
          <w:p>
            <w:pPr>
              <w:pStyle w:val="Normal"/>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USD 43,03</w:t>
            </w:r>
          </w:p>
        </w:tc>
        <w:tc>
          <w:tcPr>
            <w:tcW w:w="2832" w:type="dxa"/>
            <w:tcBorders/>
            <w:shd w:fill="auto" w:val="clear"/>
          </w:tcPr>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t xml:space="preserve">Ejecutado </w:t>
            </w:r>
          </w:p>
        </w:tc>
      </w:tr>
    </w:tbl>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De los fondos especiales Nº 59 transferidos con fecha 13 de noviembre de 2018, por un monto de USD 1220,56 para cubrir servicios de fotocopiado, víveres y movilización, se presentó el respectivo informe de liquidación de cuentas (19 de diciembre de 2018), que básicamente presente el siguiente desglose de facturas:</w:t>
      </w:r>
    </w:p>
    <w:tbl>
      <w:tblPr>
        <w:tblStyle w:val="Tablaconcuadrcula"/>
        <w:tblW w:w="8494" w:type="dxa"/>
        <w:jc w:val="left"/>
        <w:tblInd w:w="0" w:type="dxa"/>
        <w:tblCellMar>
          <w:top w:w="0" w:type="dxa"/>
          <w:left w:w="108" w:type="dxa"/>
          <w:bottom w:w="0" w:type="dxa"/>
          <w:right w:w="108" w:type="dxa"/>
        </w:tblCellMar>
        <w:tblLook w:noVBand="1" w:val="04a0" w:noHBand="0" w:lastColumn="0" w:firstColumn="1" w:lastRow="0" w:firstRow="1"/>
      </w:tblPr>
      <w:tblGrid>
        <w:gridCol w:w="1804"/>
        <w:gridCol w:w="3030"/>
        <w:gridCol w:w="1990"/>
        <w:gridCol w:w="1669"/>
      </w:tblGrid>
      <w:tr>
        <w:trPr/>
        <w:tc>
          <w:tcPr>
            <w:tcW w:w="1804" w:type="dxa"/>
            <w:tcBorders/>
            <w:shd w:fill="auto" w:val="clear"/>
          </w:tcPr>
          <w:p>
            <w:pPr>
              <w:pStyle w:val="Normal"/>
              <w:spacing w:before="0" w:after="1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Nº DE FACTURA</w:t>
            </w:r>
          </w:p>
        </w:tc>
        <w:tc>
          <w:tcPr>
            <w:tcW w:w="3030" w:type="dxa"/>
            <w:tcBorders/>
            <w:shd w:fill="auto" w:val="clear"/>
          </w:tcPr>
          <w:p>
            <w:pPr>
              <w:pStyle w:val="Normal"/>
              <w:spacing w:before="0" w:after="1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OBJETO</w:t>
            </w:r>
          </w:p>
        </w:tc>
        <w:tc>
          <w:tcPr>
            <w:tcW w:w="1990" w:type="dxa"/>
            <w:tcBorders/>
            <w:shd w:fill="auto" w:val="clear"/>
          </w:tcPr>
          <w:p>
            <w:pPr>
              <w:pStyle w:val="Normal"/>
              <w:spacing w:before="0" w:after="1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MONTO TOTAL</w:t>
            </w:r>
          </w:p>
        </w:tc>
        <w:tc>
          <w:tcPr>
            <w:tcW w:w="1669" w:type="dxa"/>
            <w:tcBorders/>
            <w:shd w:fill="auto" w:val="clear"/>
          </w:tcPr>
          <w:p>
            <w:pPr>
              <w:pStyle w:val="Normal"/>
              <w:spacing w:before="0" w:after="1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Nº RETENCIÓN</w:t>
            </w:r>
          </w:p>
        </w:tc>
      </w:tr>
      <w:tr>
        <w:trPr/>
        <w:tc>
          <w:tcPr>
            <w:tcW w:w="1804"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503</w:t>
            </w:r>
          </w:p>
        </w:tc>
        <w:tc>
          <w:tcPr>
            <w:tcW w:w="3030" w:type="dxa"/>
            <w:tcBorders/>
            <w:shd w:fill="auto" w:val="clear"/>
          </w:tcPr>
          <w:p>
            <w:pPr>
              <w:pStyle w:val="Normal"/>
              <w:widowControl/>
              <w:bidi w:val="0"/>
              <w:spacing w:lineRule="auto" w:line="259" w:before="0" w:after="16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SERVICIO DE FOTOCOPIADO</w:t>
            </w:r>
          </w:p>
        </w:tc>
        <w:tc>
          <w:tcPr>
            <w:tcW w:w="1990"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96,00</w:t>
            </w:r>
          </w:p>
        </w:tc>
        <w:tc>
          <w:tcPr>
            <w:tcW w:w="1669"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2979</w:t>
            </w:r>
          </w:p>
        </w:tc>
      </w:tr>
      <w:tr>
        <w:trPr/>
        <w:tc>
          <w:tcPr>
            <w:tcW w:w="1804"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124780</w:t>
            </w:r>
          </w:p>
        </w:tc>
        <w:tc>
          <w:tcPr>
            <w:tcW w:w="3030" w:type="dxa"/>
            <w:tcBorders/>
            <w:shd w:fill="auto" w:val="clear"/>
          </w:tcPr>
          <w:p>
            <w:pPr>
              <w:pStyle w:val="Normal"/>
              <w:widowControl/>
              <w:bidi w:val="0"/>
              <w:spacing w:lineRule="auto" w:line="259" w:before="0" w:after="16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VÍVERES</w:t>
            </w:r>
          </w:p>
        </w:tc>
        <w:tc>
          <w:tcPr>
            <w:tcW w:w="1990"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740,00</w:t>
            </w:r>
          </w:p>
        </w:tc>
        <w:tc>
          <w:tcPr>
            <w:tcW w:w="1669"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2978</w:t>
            </w:r>
          </w:p>
        </w:tc>
      </w:tr>
      <w:tr>
        <w:trPr/>
        <w:tc>
          <w:tcPr>
            <w:tcW w:w="1804"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411</w:t>
            </w:r>
          </w:p>
        </w:tc>
        <w:tc>
          <w:tcPr>
            <w:tcW w:w="3030" w:type="dxa"/>
            <w:tcBorders/>
            <w:shd w:fill="auto" w:val="clear"/>
          </w:tcPr>
          <w:p>
            <w:pPr>
              <w:pStyle w:val="Normal"/>
              <w:widowControl/>
              <w:bidi w:val="0"/>
              <w:spacing w:lineRule="auto" w:line="259" w:before="0" w:after="16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TRANSPORTE PERSONAL</w:t>
            </w:r>
          </w:p>
        </w:tc>
        <w:tc>
          <w:tcPr>
            <w:tcW w:w="1990"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379,68</w:t>
            </w:r>
          </w:p>
        </w:tc>
        <w:tc>
          <w:tcPr>
            <w:tcW w:w="1669" w:type="dxa"/>
            <w:tcBorders/>
            <w:shd w:fill="auto" w:val="clear"/>
          </w:tcPr>
          <w:p>
            <w:pPr>
              <w:pStyle w:val="Normal"/>
              <w:widowControl/>
              <w:bidi w:val="0"/>
              <w:spacing w:lineRule="auto" w:line="259" w:before="0" w:after="160"/>
              <w:jc w:val="left"/>
              <w:rPr>
                <w:rFonts w:ascii="Times New Roman" w:hAnsi="Times New Roman" w:cs="Times New Roman"/>
                <w:color w:val="000000"/>
                <w:sz w:val="24"/>
                <w:szCs w:val="24"/>
              </w:rPr>
            </w:pPr>
            <w:r>
              <w:rPr>
                <w:rFonts w:cs="Times New Roman" w:ascii="Times New Roman" w:hAnsi="Times New Roman"/>
                <w:color w:val="000000"/>
                <w:sz w:val="24"/>
                <w:szCs w:val="24"/>
              </w:rPr>
              <w:t>2977</w:t>
            </w:r>
          </w:p>
        </w:tc>
      </w:tr>
    </w:tbl>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jc w:val="both"/>
        <w:rPr/>
      </w:pPr>
      <w:r>
        <w:rPr>
          <w:rFonts w:cs="Times New Roman" w:ascii="Times New Roman" w:hAnsi="Times New Roman"/>
          <w:sz w:val="24"/>
          <w:szCs w:val="24"/>
        </w:rPr>
        <w:t>De esta forma</w:t>
      </w:r>
      <w:r>
        <w:rPr>
          <w:rFonts w:cs="Times New Roman" w:ascii="Times New Roman" w:hAnsi="Times New Roman"/>
          <w:sz w:val="24"/>
          <w:szCs w:val="24"/>
        </w:rPr>
        <w:t>,</w:t>
      </w:r>
      <w:r>
        <w:rPr>
          <w:rFonts w:cs="Times New Roman" w:ascii="Times New Roman" w:hAnsi="Times New Roman"/>
          <w:sz w:val="24"/>
          <w:szCs w:val="24"/>
        </w:rPr>
        <w:t xml:space="preserve"> se ha ejecutado el 100% del presupuesto asignado a la fecha 19 de diciembre del 2018, quedando como único pendiente en la parte financiera la entrega de un saldo de USD 4,89 del fondo específico y un monto por concepto de retención de impuestos de USD 50,79  (Renta, IVA); mismos que serán entregados una vez que la unidad financiera de la Dirección de Investigación de el visto bueno de ejecución. </w:t>
      </w:r>
    </w:p>
    <w:p>
      <w:pPr>
        <w:pStyle w:val="Normal"/>
        <w:spacing w:lineRule="auto" w:line="360"/>
        <w:jc w:val="both"/>
        <w:rPr/>
      </w:pPr>
      <w:r>
        <w:rPr>
          <w:rFonts w:eastAsia="Arial" w:cs="Times New Roman" w:ascii="Times New Roman" w:hAnsi="Times New Roman"/>
          <w:bCs/>
          <w:sz w:val="24"/>
          <w:szCs w:val="24"/>
        </w:rPr>
        <w:t>De esa manera</w:t>
      </w:r>
      <w:r>
        <w:rPr>
          <w:rFonts w:eastAsia="Arial" w:cs="Times New Roman" w:ascii="Times New Roman" w:hAnsi="Times New Roman"/>
          <w:bCs/>
          <w:sz w:val="24"/>
          <w:szCs w:val="24"/>
        </w:rPr>
        <w:t>,</w:t>
      </w:r>
      <w:r>
        <w:rPr>
          <w:rFonts w:eastAsia="Arial" w:cs="Times New Roman" w:ascii="Times New Roman" w:hAnsi="Times New Roman"/>
          <w:bCs/>
          <w:sz w:val="24"/>
          <w:szCs w:val="24"/>
        </w:rPr>
        <w:t xml:space="preserve"> puedo informar que la investigación avanza de manera muy positiva, pero que el equipo requerirá de horas de investigación para el próximo semestre, de manera que podamos desarrollar adecuadamente las actividades planificadas habiendo superado el problema presupuestario.</w:t>
      </w:r>
    </w:p>
    <w:p>
      <w:pPr>
        <w:pStyle w:val="Normal"/>
        <w:spacing w:lineRule="auto" w:line="360"/>
        <w:jc w:val="both"/>
        <w:rPr>
          <w:rFonts w:ascii="Times New Roman" w:hAnsi="Times New Roman" w:eastAsia="Arial" w:cs="Times New Roman"/>
          <w:bCs/>
          <w:sz w:val="24"/>
          <w:szCs w:val="24"/>
        </w:rPr>
      </w:pPr>
      <w:r>
        <w:rPr>
          <w:rFonts w:eastAsia="Arial" w:cs="Times New Roman" w:ascii="Times New Roman" w:hAnsi="Times New Roman"/>
          <w:bCs/>
          <w:sz w:val="24"/>
          <w:szCs w:val="24"/>
        </w:rPr>
        <w:t>Firmo como responsable,</w:t>
      </w:r>
    </w:p>
    <w:p>
      <w:pPr>
        <w:pStyle w:val="Normal"/>
        <w:spacing w:lineRule="auto" w:line="360"/>
        <w:jc w:val="both"/>
        <w:rPr>
          <w:rFonts w:ascii="Times New Roman" w:hAnsi="Times New Roman" w:eastAsia="Arial" w:cs="Times New Roman"/>
          <w:bCs/>
          <w:sz w:val="24"/>
          <w:szCs w:val="24"/>
        </w:rPr>
      </w:pPr>
      <w:r>
        <w:rPr>
          <w:rFonts w:eastAsia="Arial" w:cs="Times New Roman" w:ascii="Times New Roman" w:hAnsi="Times New Roman"/>
          <w:bCs/>
          <w:sz w:val="24"/>
          <w:szCs w:val="24"/>
        </w:rPr>
      </w:r>
    </w:p>
    <w:p>
      <w:pPr>
        <w:pStyle w:val="Normal"/>
        <w:spacing w:lineRule="auto" w:line="360"/>
        <w:jc w:val="both"/>
        <w:rPr>
          <w:rFonts w:ascii="Times New Roman" w:hAnsi="Times New Roman" w:eastAsia="Arial" w:cs="Times New Roman"/>
          <w:bCs/>
          <w:sz w:val="24"/>
          <w:szCs w:val="24"/>
        </w:rPr>
      </w:pPr>
      <w:r>
        <w:rPr>
          <w:rFonts w:eastAsia="Arial" w:cs="Times New Roman" w:ascii="Times New Roman" w:hAnsi="Times New Roman"/>
          <w:bCs/>
          <w:sz w:val="24"/>
          <w:szCs w:val="24"/>
        </w:rPr>
        <w:t>Dra. Andrea Aguirre Salas</w:t>
      </w:r>
    </w:p>
    <w:p>
      <w:pPr>
        <w:pStyle w:val="Normal"/>
        <w:spacing w:lineRule="auto" w:line="360" w:before="0" w:after="160"/>
        <w:jc w:val="both"/>
        <w:rPr/>
      </w:pPr>
      <w:r>
        <w:rPr>
          <w:rFonts w:eastAsia="Arial" w:cs="Times New Roman" w:ascii="Times New Roman" w:hAnsi="Times New Roman"/>
          <w:bCs/>
          <w:sz w:val="24"/>
          <w:szCs w:val="24"/>
        </w:rPr>
        <w:t>Directora del proyecto</w:t>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C"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C"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C"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801072"/>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itular">
    <w:name w:val="Title"/>
    <w:basedOn w:val="Normal"/>
    <w:qFormat/>
    <w:pPr>
      <w:keepNext w:val="true"/>
      <w:spacing w:before="240" w:after="120"/>
    </w:pPr>
    <w:rPr>
      <w:rFonts w:ascii="Liberation Sans" w:hAnsi="Liberation Sans" w:eastAsia="Noto Sans CJK SC Regular"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link w:val="TextodegloboCar"/>
    <w:uiPriority w:val="99"/>
    <w:semiHidden/>
    <w:unhideWhenUsed/>
    <w:qFormat/>
    <w:rsid w:val="0080107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010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3</Pages>
  <Words>537</Words>
  <Characters>3035</Characters>
  <CharactersWithSpaces>3537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2019-01-30T20:24:00Z</dcterms:created>
  <dc:creator>LABORATORIO FACULTAD CIENCIAS SOCIALES</dc:creator>
  <dc:description/>
  <dc:language>es-EC</dc:language>
  <cp:lastModifiedBy/>
  <dcterms:modified xsi:type="dcterms:W3CDTF">2019-01-31T08:12:47Z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