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96A9C" w14:textId="77777777" w:rsidR="00517375" w:rsidRPr="006A2166" w:rsidRDefault="00517375" w:rsidP="0025217E">
      <w:pPr>
        <w:widowControl w:val="0"/>
        <w:autoSpaceDE w:val="0"/>
        <w:autoSpaceDN w:val="0"/>
        <w:adjustRightInd w:val="0"/>
        <w:spacing w:line="276" w:lineRule="auto"/>
        <w:jc w:val="both"/>
        <w:rPr>
          <w:rFonts w:ascii="Times New Roman" w:hAnsi="Times New Roman" w:cs="Times New Roman"/>
          <w:color w:val="000000" w:themeColor="text1"/>
          <w:lang w:val="es-ES"/>
        </w:rPr>
      </w:pPr>
      <w:bookmarkStart w:id="0" w:name="OLE_LINK11"/>
      <w:bookmarkStart w:id="1" w:name="OLE_LINK12"/>
    </w:p>
    <w:p w14:paraId="68BBBEE8" w14:textId="77777777" w:rsidR="00517375" w:rsidRPr="006A2166" w:rsidRDefault="00517375" w:rsidP="0025217E">
      <w:pPr>
        <w:spacing w:line="276" w:lineRule="auto"/>
        <w:jc w:val="center"/>
        <w:rPr>
          <w:rFonts w:ascii="Times New Roman" w:hAnsi="Times New Roman" w:cs="Times New Roman"/>
          <w:b/>
          <w:color w:val="000000" w:themeColor="text1"/>
        </w:rPr>
      </w:pPr>
      <w:r w:rsidRPr="006A2166">
        <w:rPr>
          <w:rFonts w:ascii="Times New Roman" w:hAnsi="Times New Roman" w:cs="Times New Roman"/>
          <w:b/>
          <w:color w:val="000000" w:themeColor="text1"/>
        </w:rPr>
        <w:t>La Consulta Pre-legislativa como derecho colectivo en el Ecuador - Caso Acción de Inconstitucionalidad contra la Ley de Minería.</w:t>
      </w:r>
      <w:r w:rsidRPr="006A2166">
        <w:rPr>
          <w:rStyle w:val="Refdenotaalpie"/>
          <w:rFonts w:ascii="Times New Roman" w:hAnsi="Times New Roman" w:cs="Times New Roman"/>
          <w:b/>
          <w:color w:val="000000" w:themeColor="text1"/>
        </w:rPr>
        <w:footnoteReference w:id="1"/>
      </w:r>
    </w:p>
    <w:p w14:paraId="0597BB21" w14:textId="77777777" w:rsidR="00517375" w:rsidRPr="006A2166" w:rsidRDefault="00517375" w:rsidP="0025217E">
      <w:pPr>
        <w:spacing w:line="276" w:lineRule="auto"/>
        <w:jc w:val="both"/>
        <w:rPr>
          <w:rFonts w:ascii="Times New Roman" w:hAnsi="Times New Roman" w:cs="Times New Roman"/>
          <w:color w:val="000000" w:themeColor="text1"/>
        </w:rPr>
      </w:pPr>
    </w:p>
    <w:p w14:paraId="28F2833B" w14:textId="77777777" w:rsidR="00517375" w:rsidRPr="006A2166" w:rsidRDefault="00517375" w:rsidP="0025217E">
      <w:pPr>
        <w:spacing w:line="276" w:lineRule="auto"/>
        <w:jc w:val="both"/>
        <w:rPr>
          <w:rFonts w:ascii="Times New Roman" w:hAnsi="Times New Roman" w:cs="Times New Roman"/>
          <w:b/>
          <w:color w:val="000000" w:themeColor="text1"/>
        </w:rPr>
      </w:pPr>
      <w:r w:rsidRPr="006A2166">
        <w:rPr>
          <w:rFonts w:ascii="Times New Roman" w:hAnsi="Times New Roman" w:cs="Times New Roman"/>
          <w:b/>
          <w:color w:val="000000" w:themeColor="text1"/>
        </w:rPr>
        <w:t>Resumen:</w:t>
      </w:r>
    </w:p>
    <w:p w14:paraId="7AA148A5" w14:textId="77777777" w:rsidR="00517375" w:rsidRPr="006A2166" w:rsidRDefault="00517375" w:rsidP="0025217E">
      <w:pPr>
        <w:spacing w:line="276" w:lineRule="auto"/>
        <w:jc w:val="both"/>
        <w:rPr>
          <w:rFonts w:ascii="Times New Roman" w:hAnsi="Times New Roman" w:cs="Times New Roman"/>
          <w:color w:val="000000" w:themeColor="text1"/>
        </w:rPr>
      </w:pPr>
    </w:p>
    <w:p w14:paraId="186CD675" w14:textId="4C16B24E" w:rsidR="00517375" w:rsidRPr="006A2166" w:rsidRDefault="00517375" w:rsidP="0025217E">
      <w:pPr>
        <w:spacing w:line="276" w:lineRule="auto"/>
        <w:jc w:val="both"/>
        <w:rPr>
          <w:rFonts w:ascii="Times New Roman" w:eastAsia="Times New Roman" w:hAnsi="Times New Roman" w:cs="Times New Roman"/>
          <w:color w:val="000000" w:themeColor="text1"/>
        </w:rPr>
      </w:pPr>
      <w:r w:rsidRPr="006A2166">
        <w:rPr>
          <w:rFonts w:ascii="Times New Roman" w:hAnsi="Times New Roman" w:cs="Times New Roman"/>
          <w:color w:val="000000" w:themeColor="text1"/>
        </w:rPr>
        <w:t xml:space="preserve">     </w:t>
      </w:r>
      <w:r w:rsidRPr="006A2166">
        <w:rPr>
          <w:rFonts w:ascii="Times New Roman" w:eastAsia="Times New Roman" w:hAnsi="Times New Roman" w:cs="Times New Roman"/>
          <w:color w:val="000000" w:themeColor="text1"/>
        </w:rPr>
        <w:t xml:space="preserve">La presente investigación analizará la sentencia No. 001-10-SIN-CC de 18 de marzo de 2010 que versa sobre una acción de inconstitucionalidad contra la Ley de Minería. Los proponentes alegan en lo principal la inconstitucionalidad formal y material de la Ley por no haberse realizado previamente la consulta pre-legislativa, requisito indispensable para la aprobación de la norma puesto que la misma contiene temas de interés para los pueblos y nacionalidades indígenas. El trabajo analizará el derecho colectivo de la consulta pre-legislativa. En cuanto a la metodología a utilizar se aplicará el método sistémico, analítico y </w:t>
      </w:r>
      <w:r w:rsidR="00A455A1" w:rsidRPr="006A2166">
        <w:rPr>
          <w:rFonts w:ascii="Times New Roman" w:eastAsia="Times New Roman" w:hAnsi="Times New Roman" w:cs="Times New Roman"/>
          <w:color w:val="000000" w:themeColor="text1"/>
        </w:rPr>
        <w:t>hermenéutico</w:t>
      </w:r>
      <w:r w:rsidRPr="006A2166">
        <w:rPr>
          <w:rFonts w:ascii="Times New Roman" w:eastAsia="Times New Roman" w:hAnsi="Times New Roman" w:cs="Times New Roman"/>
          <w:color w:val="000000" w:themeColor="text1"/>
        </w:rPr>
        <w:t xml:space="preserve">. La investigación concluye estableciendo que la sentencia de la Corte Constitucional ha garantizado parcialmente los derechos colectivos de estos pueblos.  </w:t>
      </w:r>
    </w:p>
    <w:p w14:paraId="226C0B5D" w14:textId="77777777" w:rsidR="00517375" w:rsidRPr="006A2166" w:rsidRDefault="00517375" w:rsidP="0025217E">
      <w:pPr>
        <w:spacing w:line="276" w:lineRule="auto"/>
        <w:jc w:val="both"/>
        <w:rPr>
          <w:rFonts w:ascii="Times New Roman" w:eastAsia="Times New Roman" w:hAnsi="Times New Roman" w:cs="Times New Roman"/>
          <w:color w:val="000000" w:themeColor="text1"/>
        </w:rPr>
      </w:pPr>
    </w:p>
    <w:p w14:paraId="6D3F1894" w14:textId="77777777" w:rsidR="00517375" w:rsidRPr="006A2166" w:rsidRDefault="00517375" w:rsidP="0025217E">
      <w:pPr>
        <w:spacing w:line="276" w:lineRule="auto"/>
        <w:jc w:val="both"/>
        <w:rPr>
          <w:rFonts w:ascii="Times New Roman" w:hAnsi="Times New Roman" w:cs="Times New Roman"/>
          <w:color w:val="000000" w:themeColor="text1"/>
        </w:rPr>
      </w:pPr>
      <w:bookmarkStart w:id="2" w:name="_GoBack"/>
      <w:bookmarkEnd w:id="2"/>
    </w:p>
    <w:p w14:paraId="289EE48C" w14:textId="77777777" w:rsidR="00517375" w:rsidRPr="006A2166" w:rsidRDefault="00517375" w:rsidP="0025217E">
      <w:pPr>
        <w:spacing w:line="276" w:lineRule="auto"/>
        <w:jc w:val="both"/>
        <w:rPr>
          <w:rFonts w:ascii="Times New Roman" w:hAnsi="Times New Roman" w:cs="Times New Roman"/>
          <w:b/>
          <w:color w:val="000000" w:themeColor="text1"/>
        </w:rPr>
      </w:pPr>
      <w:r w:rsidRPr="006A2166">
        <w:rPr>
          <w:rFonts w:ascii="Times New Roman" w:hAnsi="Times New Roman" w:cs="Times New Roman"/>
          <w:b/>
          <w:color w:val="000000" w:themeColor="text1"/>
        </w:rPr>
        <w:t>Introducción:</w:t>
      </w:r>
    </w:p>
    <w:p w14:paraId="72B28F38" w14:textId="77777777" w:rsidR="00517375" w:rsidRPr="006A2166" w:rsidRDefault="00517375" w:rsidP="0025217E">
      <w:pPr>
        <w:spacing w:line="276" w:lineRule="auto"/>
        <w:jc w:val="both"/>
        <w:rPr>
          <w:rFonts w:ascii="Times New Roman" w:hAnsi="Times New Roman" w:cs="Times New Roman"/>
          <w:color w:val="000000" w:themeColor="text1"/>
        </w:rPr>
      </w:pPr>
    </w:p>
    <w:p w14:paraId="472D58AB" w14:textId="25FC9104" w:rsidR="00517375" w:rsidRPr="006A2166" w:rsidRDefault="00517375" w:rsidP="0025217E">
      <w:pPr>
        <w:widowControl w:val="0"/>
        <w:autoSpaceDE w:val="0"/>
        <w:autoSpaceDN w:val="0"/>
        <w:adjustRightInd w:val="0"/>
        <w:spacing w:after="240"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La tercera generación de derechos reconoce a los derechos colectivos como aquellos derechos cuyos titulares son un grupo o conjunto de personas. En efecto, estos derechos no se constituyen por la sumatoria de voluntades individuales sino que buscan proteger los intereses del grupo e incluso la identidad colectiva, </w:t>
      </w:r>
      <w:r w:rsidR="00A455A1" w:rsidRPr="006A2166">
        <w:rPr>
          <w:rFonts w:ascii="Times New Roman" w:hAnsi="Times New Roman" w:cs="Times New Roman"/>
          <w:color w:val="000000" w:themeColor="text1"/>
        </w:rPr>
        <w:t>entiéndase</w:t>
      </w:r>
      <w:r w:rsidRPr="006A2166">
        <w:rPr>
          <w:rFonts w:ascii="Times New Roman" w:hAnsi="Times New Roman" w:cs="Times New Roman"/>
          <w:color w:val="000000" w:themeColor="text1"/>
        </w:rPr>
        <w:t xml:space="preserve"> a esta como el conjunto de propiedades y atributos característicos de un grupo que se construye en un contexto histórico particular.</w:t>
      </w:r>
      <w:r w:rsidRPr="006A2166">
        <w:rPr>
          <w:rStyle w:val="Refdenotaalpie"/>
          <w:rFonts w:ascii="Times New Roman" w:hAnsi="Times New Roman" w:cs="Times New Roman"/>
          <w:color w:val="000000" w:themeColor="text1"/>
        </w:rPr>
        <w:footnoteReference w:id="2"/>
      </w:r>
    </w:p>
    <w:p w14:paraId="31AF85BE" w14:textId="700DB036" w:rsidR="00517375" w:rsidRPr="006A2166" w:rsidRDefault="00517375" w:rsidP="0025217E">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w:t>
      </w:r>
      <w:r w:rsidRPr="006A2166">
        <w:rPr>
          <w:rFonts w:ascii="Times New Roman" w:hAnsi="Times New Roman" w:cs="Times New Roman"/>
          <w:color w:val="000000" w:themeColor="text1"/>
          <w:lang w:val="es-ES"/>
        </w:rPr>
        <w:t xml:space="preserve">Dentro de los derechos colectivos se encuentran </w:t>
      </w:r>
      <w:r w:rsidRPr="006A2166">
        <w:rPr>
          <w:rFonts w:ascii="Times New Roman" w:hAnsi="Times New Roman" w:cs="Times New Roman"/>
          <w:color w:val="000000" w:themeColor="text1"/>
        </w:rPr>
        <w:t>los derechos de pueblos y nacionalidades indígenas con sus referentes identitarios como son etnohistoria, creencias, valores, normas, lengua, prácticas colectivas, entre otras. Estos referentes vislum</w:t>
      </w:r>
      <w:r w:rsidR="00DB706B">
        <w:rPr>
          <w:rFonts w:ascii="Times New Roman" w:hAnsi="Times New Roman" w:cs="Times New Roman"/>
          <w:color w:val="000000" w:themeColor="text1"/>
        </w:rPr>
        <w:t>bra</w:t>
      </w:r>
      <w:r w:rsidRPr="006A2166">
        <w:rPr>
          <w:rFonts w:ascii="Times New Roman" w:hAnsi="Times New Roman" w:cs="Times New Roman"/>
          <w:color w:val="000000" w:themeColor="text1"/>
        </w:rPr>
        <w:t xml:space="preserve"> una cosmovisión diferente del mundo, lo cual contribuye al desarrollo del pluralismo en la sociedad.  </w:t>
      </w:r>
    </w:p>
    <w:p w14:paraId="35AA99E6" w14:textId="77777777" w:rsidR="00517375" w:rsidRPr="006A2166" w:rsidRDefault="00517375" w:rsidP="0025217E">
      <w:pPr>
        <w:spacing w:line="276" w:lineRule="auto"/>
        <w:jc w:val="both"/>
        <w:rPr>
          <w:rFonts w:ascii="Times New Roman" w:hAnsi="Times New Roman" w:cs="Times New Roman"/>
          <w:color w:val="000000" w:themeColor="text1"/>
        </w:rPr>
      </w:pPr>
    </w:p>
    <w:p w14:paraId="6CDED828" w14:textId="1299ABD8" w:rsidR="00517375" w:rsidRPr="006A2166" w:rsidRDefault="00517375" w:rsidP="0025217E">
      <w:pPr>
        <w:widowControl w:val="0"/>
        <w:autoSpaceDE w:val="0"/>
        <w:autoSpaceDN w:val="0"/>
        <w:adjustRightInd w:val="0"/>
        <w:spacing w:after="240"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Los derechos de estos grupos colectivos han sido desarrollados </w:t>
      </w:r>
      <w:r w:rsidR="00A455A1" w:rsidRPr="006A2166">
        <w:rPr>
          <w:rFonts w:ascii="Times New Roman" w:hAnsi="Times New Roman" w:cs="Times New Roman"/>
          <w:color w:val="000000" w:themeColor="text1"/>
        </w:rPr>
        <w:t>principalmente</w:t>
      </w:r>
      <w:r w:rsidRPr="006A2166">
        <w:rPr>
          <w:rFonts w:ascii="Times New Roman" w:hAnsi="Times New Roman" w:cs="Times New Roman"/>
          <w:color w:val="000000" w:themeColor="text1"/>
        </w:rPr>
        <w:t xml:space="preserve"> en el Derecho Internacional al garantizar la “autodeterminación de los pueblos.” En efecto, con la Carta de Naci</w:t>
      </w:r>
      <w:r w:rsidR="00B510EA" w:rsidRPr="006A2166">
        <w:rPr>
          <w:rFonts w:ascii="Times New Roman" w:hAnsi="Times New Roman" w:cs="Times New Roman"/>
          <w:color w:val="000000" w:themeColor="text1"/>
        </w:rPr>
        <w:t>ones Unidas de 1945 se garantizó</w:t>
      </w:r>
      <w:r w:rsidRPr="006A2166">
        <w:rPr>
          <w:rFonts w:ascii="Times New Roman" w:hAnsi="Times New Roman" w:cs="Times New Roman"/>
          <w:color w:val="000000" w:themeColor="text1"/>
        </w:rPr>
        <w:t xml:space="preserve"> por primera vez “la libre determinación de los pueblos”, en sus artículos 1.2 y 55; esta norma produce </w:t>
      </w:r>
      <w:r w:rsidRPr="006A2166">
        <w:rPr>
          <w:rFonts w:ascii="Times New Roman" w:hAnsi="Times New Roman" w:cs="Times New Roman"/>
          <w:i/>
          <w:color w:val="000000" w:themeColor="text1"/>
        </w:rPr>
        <w:t>spillovers</w:t>
      </w:r>
      <w:r w:rsidR="00DB706B">
        <w:rPr>
          <w:rFonts w:ascii="Times New Roman" w:hAnsi="Times New Roman" w:cs="Times New Roman"/>
          <w:color w:val="000000" w:themeColor="text1"/>
        </w:rPr>
        <w:t xml:space="preserve"> o factores de derrame que llevó</w:t>
      </w:r>
      <w:r w:rsidRPr="006A2166">
        <w:rPr>
          <w:rFonts w:ascii="Times New Roman" w:hAnsi="Times New Roman" w:cs="Times New Roman"/>
          <w:color w:val="000000" w:themeColor="text1"/>
        </w:rPr>
        <w:t xml:space="preserve"> a aplicar este principio en el proceso de descolonización.</w:t>
      </w:r>
      <w:r w:rsidRPr="006A2166">
        <w:rPr>
          <w:rStyle w:val="Refdenotaalpie"/>
          <w:rFonts w:ascii="Times New Roman" w:hAnsi="Times New Roman" w:cs="Times New Roman"/>
          <w:color w:val="000000" w:themeColor="text1"/>
        </w:rPr>
        <w:footnoteReference w:id="3"/>
      </w:r>
      <w:r w:rsidRPr="006A2166">
        <w:rPr>
          <w:rFonts w:ascii="Times New Roman" w:hAnsi="Times New Roman" w:cs="Times New Roman"/>
          <w:color w:val="000000" w:themeColor="text1"/>
        </w:rPr>
        <w:t xml:space="preserve"> </w:t>
      </w:r>
    </w:p>
    <w:p w14:paraId="3C175AF0" w14:textId="37EA005E" w:rsidR="00517375" w:rsidRPr="006A2166" w:rsidRDefault="00517375" w:rsidP="0025217E">
      <w:pPr>
        <w:widowControl w:val="0"/>
        <w:autoSpaceDE w:val="0"/>
        <w:autoSpaceDN w:val="0"/>
        <w:adjustRightInd w:val="0"/>
        <w:spacing w:after="240" w:line="276" w:lineRule="auto"/>
        <w:jc w:val="both"/>
        <w:rPr>
          <w:rFonts w:ascii="Times New Roman" w:hAnsi="Times New Roman" w:cs="Times New Roman"/>
          <w:color w:val="000000" w:themeColor="text1"/>
          <w:lang w:val="es-ES"/>
        </w:rPr>
      </w:pPr>
      <w:r w:rsidRPr="006A2166">
        <w:rPr>
          <w:rFonts w:ascii="Times New Roman" w:hAnsi="Times New Roman" w:cs="Times New Roman"/>
          <w:color w:val="000000" w:themeColor="text1"/>
        </w:rPr>
        <w:lastRenderedPageBreak/>
        <w:t xml:space="preserve">     Posteriormente, el Pacto Internacional de Derechos Civiles y Políticos</w:t>
      </w:r>
      <w:r w:rsidR="00A4597C" w:rsidRPr="006A2166">
        <w:rPr>
          <w:rFonts w:ascii="Times New Roman" w:hAnsi="Times New Roman" w:cs="Times New Roman"/>
          <w:color w:val="000000" w:themeColor="text1"/>
        </w:rPr>
        <w:t xml:space="preserve"> (PIDCP)</w:t>
      </w:r>
      <w:r w:rsidRPr="006A2166">
        <w:rPr>
          <w:rFonts w:ascii="Times New Roman" w:hAnsi="Times New Roman" w:cs="Times New Roman"/>
          <w:color w:val="000000" w:themeColor="text1"/>
        </w:rPr>
        <w:t xml:space="preserve"> en 1966 establece en su artículo 1 que: “todos los pueblos tienen el derecho de libre determinación.”  Así, la libre determinación deviene en un principio fundamental del derecho público internacional e incluso una norma del </w:t>
      </w:r>
      <w:r w:rsidRPr="006A2166">
        <w:rPr>
          <w:rFonts w:ascii="Times New Roman" w:hAnsi="Times New Roman" w:cs="Times New Roman"/>
          <w:i/>
          <w:color w:val="000000" w:themeColor="text1"/>
        </w:rPr>
        <w:t>ius cogen</w:t>
      </w:r>
      <w:r w:rsidRPr="006A2166">
        <w:rPr>
          <w:rStyle w:val="Refdenotaalpie"/>
          <w:rFonts w:ascii="Times New Roman" w:hAnsi="Times New Roman" w:cs="Times New Roman"/>
          <w:i/>
          <w:color w:val="000000" w:themeColor="text1"/>
        </w:rPr>
        <w:footnoteReference w:id="4"/>
      </w:r>
      <w:r w:rsidRPr="006A2166">
        <w:rPr>
          <w:rFonts w:ascii="Times New Roman" w:hAnsi="Times New Roman" w:cs="Times New Roman"/>
          <w:i/>
          <w:color w:val="000000" w:themeColor="text1"/>
        </w:rPr>
        <w:t xml:space="preserve"> </w:t>
      </w:r>
      <w:r w:rsidRPr="006A2166">
        <w:rPr>
          <w:rFonts w:ascii="Times New Roman" w:hAnsi="Times New Roman" w:cs="Times New Roman"/>
          <w:color w:val="000000" w:themeColor="text1"/>
        </w:rPr>
        <w:t xml:space="preserve">y se establece además que “para el logro de sus fines, todos los pueblos pueden disponer libremente de sus riquezas y recursos naturales, (…). En ningún caso podrá privarse a un pueblo de sus propios medios de subsistencia.” </w:t>
      </w:r>
    </w:p>
    <w:p w14:paraId="67086BF2" w14:textId="2DC890EA" w:rsidR="00517375" w:rsidRPr="006A2166" w:rsidRDefault="00517375" w:rsidP="0025217E">
      <w:pPr>
        <w:pStyle w:val="Ttulo2"/>
        <w:spacing w:before="0" w:beforeAutospacing="0" w:after="0" w:afterAutospacing="0" w:line="276" w:lineRule="auto"/>
        <w:jc w:val="both"/>
        <w:rPr>
          <w:rFonts w:ascii="Times New Roman" w:hAnsi="Times New Roman" w:cs="Times New Roman"/>
          <w:b w:val="0"/>
          <w:color w:val="000000" w:themeColor="text1"/>
          <w:sz w:val="24"/>
          <w:szCs w:val="24"/>
        </w:rPr>
      </w:pPr>
      <w:r w:rsidRPr="006A2166">
        <w:rPr>
          <w:rFonts w:ascii="Times New Roman" w:hAnsi="Times New Roman" w:cs="Times New Roman"/>
          <w:b w:val="0"/>
          <w:color w:val="000000" w:themeColor="text1"/>
          <w:sz w:val="24"/>
          <w:szCs w:val="24"/>
        </w:rPr>
        <w:t xml:space="preserve">     En 1957, el Convenio 107 de la </w:t>
      </w:r>
      <w:r w:rsidR="0022051B" w:rsidRPr="006A2166">
        <w:rPr>
          <w:rFonts w:ascii="Times New Roman" w:hAnsi="Times New Roman" w:cs="Times New Roman"/>
          <w:b w:val="0"/>
          <w:color w:val="000000" w:themeColor="text1"/>
          <w:sz w:val="24"/>
          <w:szCs w:val="24"/>
          <w:lang w:val="es-ES"/>
        </w:rPr>
        <w:t>Organización Internacional del Trabajo</w:t>
      </w:r>
      <w:r w:rsidR="0022051B" w:rsidRPr="006A2166">
        <w:rPr>
          <w:rFonts w:ascii="Times New Roman" w:hAnsi="Times New Roman" w:cs="Times New Roman"/>
          <w:b w:val="0"/>
          <w:color w:val="000000" w:themeColor="text1"/>
          <w:sz w:val="24"/>
          <w:szCs w:val="24"/>
        </w:rPr>
        <w:t xml:space="preserve"> (</w:t>
      </w:r>
      <w:r w:rsidRPr="006A2166">
        <w:rPr>
          <w:rFonts w:ascii="Times New Roman" w:hAnsi="Times New Roman" w:cs="Times New Roman"/>
          <w:b w:val="0"/>
          <w:color w:val="000000" w:themeColor="text1"/>
          <w:sz w:val="24"/>
          <w:szCs w:val="24"/>
        </w:rPr>
        <w:t>OIT</w:t>
      </w:r>
      <w:r w:rsidR="0022051B" w:rsidRPr="006A2166">
        <w:rPr>
          <w:rFonts w:ascii="Times New Roman" w:hAnsi="Times New Roman" w:cs="Times New Roman"/>
          <w:b w:val="0"/>
          <w:color w:val="000000" w:themeColor="text1"/>
          <w:sz w:val="24"/>
          <w:szCs w:val="24"/>
        </w:rPr>
        <w:t>)</w:t>
      </w:r>
      <w:r w:rsidR="00B510EA" w:rsidRPr="006A2166">
        <w:rPr>
          <w:rFonts w:ascii="Times New Roman" w:hAnsi="Times New Roman" w:cs="Times New Roman"/>
          <w:b w:val="0"/>
          <w:color w:val="000000" w:themeColor="text1"/>
          <w:sz w:val="24"/>
          <w:szCs w:val="24"/>
        </w:rPr>
        <w:t xml:space="preserve"> estableció</w:t>
      </w:r>
      <w:r w:rsidR="006F396B" w:rsidRPr="006A2166">
        <w:rPr>
          <w:rFonts w:ascii="Times New Roman" w:hAnsi="Times New Roman" w:cs="Times New Roman"/>
          <w:b w:val="0"/>
          <w:color w:val="000000" w:themeColor="text1"/>
          <w:sz w:val="24"/>
          <w:szCs w:val="24"/>
        </w:rPr>
        <w:t xml:space="preserve"> garantías para estos colectivo</w:t>
      </w:r>
      <w:r w:rsidRPr="006A2166">
        <w:rPr>
          <w:rFonts w:ascii="Times New Roman" w:hAnsi="Times New Roman" w:cs="Times New Roman"/>
          <w:b w:val="0"/>
          <w:color w:val="000000" w:themeColor="text1"/>
          <w:sz w:val="24"/>
          <w:szCs w:val="24"/>
        </w:rPr>
        <w:t xml:space="preserve">s pero desde una visión integracionista que se centraba en la </w:t>
      </w:r>
      <w:r w:rsidR="001C1CD6" w:rsidRPr="006A2166">
        <w:rPr>
          <w:rFonts w:ascii="Times New Roman" w:hAnsi="Times New Roman" w:cs="Times New Roman"/>
          <w:b w:val="0"/>
          <w:color w:val="000000" w:themeColor="text1"/>
          <w:sz w:val="24"/>
          <w:szCs w:val="24"/>
        </w:rPr>
        <w:t xml:space="preserve">incorporación </w:t>
      </w:r>
      <w:r w:rsidRPr="006A2166">
        <w:rPr>
          <w:rFonts w:ascii="Times New Roman" w:hAnsi="Times New Roman" w:cs="Times New Roman"/>
          <w:b w:val="0"/>
          <w:color w:val="000000" w:themeColor="text1"/>
          <w:sz w:val="24"/>
          <w:szCs w:val="24"/>
        </w:rPr>
        <w:t>de los indígenas como individuos a la sociedad sin tener en cuenta su cosmovisión.</w:t>
      </w:r>
      <w:r w:rsidRPr="006A2166">
        <w:rPr>
          <w:rStyle w:val="Refdenotaalpie"/>
          <w:rFonts w:ascii="Times New Roman" w:hAnsi="Times New Roman" w:cs="Times New Roman"/>
          <w:b w:val="0"/>
          <w:color w:val="000000" w:themeColor="text1"/>
          <w:sz w:val="24"/>
          <w:szCs w:val="24"/>
        </w:rPr>
        <w:footnoteReference w:id="5"/>
      </w:r>
      <w:r w:rsidRPr="006A2166">
        <w:rPr>
          <w:rFonts w:ascii="Times New Roman" w:hAnsi="Times New Roman" w:cs="Times New Roman"/>
          <w:b w:val="0"/>
          <w:color w:val="000000" w:themeColor="text1"/>
          <w:sz w:val="24"/>
          <w:szCs w:val="24"/>
        </w:rPr>
        <w:t xml:space="preserve"> Empero, este convenio no establecía la obligatoriedad para los Estados de adoptar medidas de protección a </w:t>
      </w:r>
      <w:r w:rsidR="00BC6DAD" w:rsidRPr="006A2166">
        <w:rPr>
          <w:rFonts w:ascii="Times New Roman" w:hAnsi="Times New Roman" w:cs="Times New Roman"/>
          <w:b w:val="0"/>
          <w:color w:val="000000" w:themeColor="text1"/>
          <w:sz w:val="24"/>
          <w:szCs w:val="24"/>
        </w:rPr>
        <w:t>l</w:t>
      </w:r>
      <w:r w:rsidR="00B510EA" w:rsidRPr="006A2166">
        <w:rPr>
          <w:rFonts w:ascii="Times New Roman" w:hAnsi="Times New Roman" w:cs="Times New Roman"/>
          <w:b w:val="0"/>
          <w:color w:val="000000" w:themeColor="text1"/>
          <w:sz w:val="24"/>
          <w:szCs w:val="24"/>
        </w:rPr>
        <w:t xml:space="preserve">os indígenas. En los años 70 a través de la apertura de </w:t>
      </w:r>
      <w:r w:rsidRPr="006A2166">
        <w:rPr>
          <w:rFonts w:ascii="Times New Roman" w:hAnsi="Times New Roman" w:cs="Times New Roman"/>
          <w:b w:val="0"/>
          <w:color w:val="000000" w:themeColor="text1"/>
          <w:sz w:val="24"/>
          <w:szCs w:val="24"/>
        </w:rPr>
        <w:t>foros sobre la Discriminación contra las poblaciones indígenas</w:t>
      </w:r>
      <w:r w:rsidR="00B510EA" w:rsidRPr="006A2166">
        <w:rPr>
          <w:rFonts w:ascii="Times New Roman" w:hAnsi="Times New Roman" w:cs="Times New Roman"/>
          <w:b w:val="0"/>
          <w:color w:val="000000" w:themeColor="text1"/>
          <w:sz w:val="24"/>
          <w:szCs w:val="24"/>
        </w:rPr>
        <w:t xml:space="preserve"> y con el informe del </w:t>
      </w:r>
      <w:r w:rsidRPr="006A2166">
        <w:rPr>
          <w:rFonts w:ascii="Times New Roman" w:hAnsi="Times New Roman" w:cs="Times New Roman"/>
          <w:b w:val="0"/>
          <w:color w:val="000000" w:themeColor="text1"/>
          <w:sz w:val="24"/>
          <w:szCs w:val="24"/>
        </w:rPr>
        <w:t>Relator de Naciones Unidas Martinez Cobo</w:t>
      </w:r>
      <w:r w:rsidR="00B510EA" w:rsidRPr="006A2166">
        <w:rPr>
          <w:rStyle w:val="Refdenotaalpie"/>
          <w:rFonts w:ascii="Times New Roman" w:hAnsi="Times New Roman" w:cs="Times New Roman"/>
          <w:b w:val="0"/>
          <w:color w:val="000000" w:themeColor="text1"/>
          <w:sz w:val="24"/>
          <w:szCs w:val="24"/>
        </w:rPr>
        <w:footnoteReference w:id="6"/>
      </w:r>
      <w:r w:rsidRPr="006A2166">
        <w:rPr>
          <w:rFonts w:ascii="Times New Roman" w:hAnsi="Times New Roman" w:cs="Times New Roman"/>
          <w:b w:val="0"/>
          <w:color w:val="000000" w:themeColor="text1"/>
          <w:sz w:val="24"/>
          <w:szCs w:val="24"/>
        </w:rPr>
        <w:t xml:space="preserve"> </w:t>
      </w:r>
      <w:r w:rsidR="00E160C1" w:rsidRPr="006A2166">
        <w:rPr>
          <w:rFonts w:ascii="Times New Roman" w:hAnsi="Times New Roman" w:cs="Times New Roman"/>
          <w:b w:val="0"/>
          <w:color w:val="000000" w:themeColor="text1"/>
          <w:sz w:val="24"/>
          <w:szCs w:val="24"/>
        </w:rPr>
        <w:t>quien</w:t>
      </w:r>
      <w:r w:rsidR="00B510EA" w:rsidRPr="006A2166">
        <w:rPr>
          <w:rFonts w:ascii="Times New Roman" w:hAnsi="Times New Roman" w:cs="Times New Roman"/>
          <w:b w:val="0"/>
          <w:color w:val="000000" w:themeColor="text1"/>
          <w:sz w:val="24"/>
          <w:szCs w:val="24"/>
        </w:rPr>
        <w:t xml:space="preserve"> recomendó</w:t>
      </w:r>
      <w:r w:rsidRPr="006A2166">
        <w:rPr>
          <w:rFonts w:ascii="Times New Roman" w:hAnsi="Times New Roman" w:cs="Times New Roman"/>
          <w:b w:val="0"/>
          <w:color w:val="000000" w:themeColor="text1"/>
          <w:sz w:val="24"/>
          <w:szCs w:val="24"/>
        </w:rPr>
        <w:t xml:space="preserve"> la revisión y reforma del Convenio 107 de la OIT </w:t>
      </w:r>
      <w:r w:rsidR="00E160C1" w:rsidRPr="006A2166">
        <w:rPr>
          <w:rFonts w:ascii="Times New Roman" w:hAnsi="Times New Roman" w:cs="Times New Roman"/>
          <w:b w:val="0"/>
          <w:color w:val="000000" w:themeColor="text1"/>
          <w:sz w:val="24"/>
          <w:szCs w:val="24"/>
        </w:rPr>
        <w:t xml:space="preserve">dio como resultado que </w:t>
      </w:r>
      <w:r w:rsidRPr="006A2166">
        <w:rPr>
          <w:rFonts w:ascii="Times New Roman" w:hAnsi="Times New Roman" w:cs="Times New Roman"/>
          <w:b w:val="0"/>
          <w:color w:val="000000" w:themeColor="text1"/>
          <w:sz w:val="24"/>
          <w:szCs w:val="24"/>
        </w:rPr>
        <w:t>en 1989 se apr</w:t>
      </w:r>
      <w:r w:rsidR="00E160C1" w:rsidRPr="006A2166">
        <w:rPr>
          <w:rFonts w:ascii="Times New Roman" w:hAnsi="Times New Roman" w:cs="Times New Roman"/>
          <w:b w:val="0"/>
          <w:color w:val="000000" w:themeColor="text1"/>
          <w:sz w:val="24"/>
          <w:szCs w:val="24"/>
        </w:rPr>
        <w:t xml:space="preserve">uebe </w:t>
      </w:r>
      <w:r w:rsidRPr="006A2166">
        <w:rPr>
          <w:rFonts w:ascii="Times New Roman" w:hAnsi="Times New Roman" w:cs="Times New Roman"/>
          <w:b w:val="0"/>
          <w:color w:val="000000" w:themeColor="text1"/>
          <w:sz w:val="24"/>
          <w:szCs w:val="24"/>
        </w:rPr>
        <w:t>el Convenio 169 de la OIT sobre pueblos indígenas y tribales.</w:t>
      </w:r>
    </w:p>
    <w:p w14:paraId="49221D0C" w14:textId="77777777" w:rsidR="00517375" w:rsidRPr="006A2166" w:rsidRDefault="00517375" w:rsidP="0025217E">
      <w:pPr>
        <w:pStyle w:val="Ttulo2"/>
        <w:spacing w:before="0" w:beforeAutospacing="0" w:after="0" w:afterAutospacing="0" w:line="276" w:lineRule="auto"/>
        <w:jc w:val="both"/>
        <w:rPr>
          <w:rFonts w:ascii="Times New Roman" w:hAnsi="Times New Roman" w:cs="Times New Roman"/>
          <w:b w:val="0"/>
          <w:color w:val="000000" w:themeColor="text1"/>
          <w:sz w:val="24"/>
          <w:szCs w:val="24"/>
        </w:rPr>
      </w:pPr>
    </w:p>
    <w:p w14:paraId="3CC1320C" w14:textId="413A35EA" w:rsidR="00517375" w:rsidRPr="006A2166" w:rsidRDefault="00517375" w:rsidP="0025217E">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En este contexto, esta </w:t>
      </w:r>
      <w:r w:rsidR="001C1CD6" w:rsidRPr="006A2166">
        <w:rPr>
          <w:rFonts w:ascii="Times New Roman" w:hAnsi="Times New Roman" w:cs="Times New Roman"/>
          <w:color w:val="000000" w:themeColor="text1"/>
        </w:rPr>
        <w:t xml:space="preserve">última </w:t>
      </w:r>
      <w:r w:rsidRPr="006A2166">
        <w:rPr>
          <w:rFonts w:ascii="Times New Roman" w:hAnsi="Times New Roman" w:cs="Times New Roman"/>
          <w:color w:val="000000" w:themeColor="text1"/>
        </w:rPr>
        <w:t xml:space="preserve">norma </w:t>
      </w:r>
      <w:r w:rsidR="00BC6DAD" w:rsidRPr="006A2166">
        <w:rPr>
          <w:rFonts w:ascii="Times New Roman" w:hAnsi="Times New Roman" w:cs="Times New Roman"/>
          <w:color w:val="000000" w:themeColor="text1"/>
        </w:rPr>
        <w:t xml:space="preserve">internacional </w:t>
      </w:r>
      <w:r w:rsidR="00E160C1" w:rsidRPr="006A2166">
        <w:rPr>
          <w:rFonts w:ascii="Times New Roman" w:hAnsi="Times New Roman" w:cs="Times New Roman"/>
          <w:color w:val="000000" w:themeColor="text1"/>
        </w:rPr>
        <w:t>promovió y reguló</w:t>
      </w:r>
      <w:r w:rsidRPr="006A2166">
        <w:rPr>
          <w:rFonts w:ascii="Times New Roman" w:hAnsi="Times New Roman" w:cs="Times New Roman"/>
          <w:color w:val="000000" w:themeColor="text1"/>
        </w:rPr>
        <w:t xml:space="preserve"> varios derechos colectivos de estos pueblos como la consulta </w:t>
      </w:r>
      <w:r w:rsidR="00A455A1" w:rsidRPr="006A2166">
        <w:rPr>
          <w:rFonts w:ascii="Times New Roman" w:hAnsi="Times New Roman" w:cs="Times New Roman"/>
          <w:color w:val="000000" w:themeColor="text1"/>
        </w:rPr>
        <w:t>pre legislativa</w:t>
      </w:r>
      <w:r w:rsidRPr="006A2166">
        <w:rPr>
          <w:rFonts w:ascii="Times New Roman" w:hAnsi="Times New Roman" w:cs="Times New Roman"/>
          <w:color w:val="000000" w:themeColor="text1"/>
        </w:rPr>
        <w:t xml:space="preserve">, la consulta previa libre e informada, el derecho a sus territorios ancestrales. En consecuencia, este Convenio influenció en las reformas constitucionales en materia de derechos indígenas en América Latina. </w:t>
      </w:r>
    </w:p>
    <w:p w14:paraId="5AA9C449" w14:textId="77777777" w:rsidR="00517375" w:rsidRPr="006A2166" w:rsidRDefault="00517375" w:rsidP="0025217E">
      <w:pPr>
        <w:spacing w:line="276" w:lineRule="auto"/>
        <w:jc w:val="both"/>
        <w:rPr>
          <w:rFonts w:ascii="Times New Roman" w:hAnsi="Times New Roman" w:cs="Times New Roman"/>
          <w:color w:val="000000" w:themeColor="text1"/>
        </w:rPr>
      </w:pPr>
    </w:p>
    <w:p w14:paraId="37C9545B" w14:textId="3697D0AA" w:rsidR="00517375" w:rsidRPr="006A2166" w:rsidRDefault="00517375" w:rsidP="0025217E">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Es así que en los años 90 se empiezan a constitucionalizar estos derechos, por ejemplo Argentina con la reforma de 1994 en su a</w:t>
      </w:r>
      <w:r w:rsidR="006F396B" w:rsidRPr="006A2166">
        <w:rPr>
          <w:rFonts w:ascii="Times New Roman" w:hAnsi="Times New Roman" w:cs="Times New Roman"/>
          <w:color w:val="000000" w:themeColor="text1"/>
        </w:rPr>
        <w:t>rtículo 75.17, la Constitución c</w:t>
      </w:r>
      <w:r w:rsidRPr="006A2166">
        <w:rPr>
          <w:rFonts w:ascii="Times New Roman" w:hAnsi="Times New Roman" w:cs="Times New Roman"/>
          <w:color w:val="000000" w:themeColor="text1"/>
        </w:rPr>
        <w:t>olom</w:t>
      </w:r>
      <w:r w:rsidR="006F396B" w:rsidRPr="006A2166">
        <w:rPr>
          <w:rFonts w:ascii="Times New Roman" w:hAnsi="Times New Roman" w:cs="Times New Roman"/>
          <w:color w:val="000000" w:themeColor="text1"/>
        </w:rPr>
        <w:t>biana de 1991, la Constitución p</w:t>
      </w:r>
      <w:r w:rsidRPr="006A2166">
        <w:rPr>
          <w:rFonts w:ascii="Times New Roman" w:hAnsi="Times New Roman" w:cs="Times New Roman"/>
          <w:color w:val="000000" w:themeColor="text1"/>
        </w:rPr>
        <w:t xml:space="preserve">eruana de 1993, la Constitución ecuatoriana de </w:t>
      </w:r>
      <w:r w:rsidR="001C1CD6" w:rsidRPr="006A2166">
        <w:rPr>
          <w:rFonts w:ascii="Times New Roman" w:hAnsi="Times New Roman" w:cs="Times New Roman"/>
          <w:color w:val="000000" w:themeColor="text1"/>
        </w:rPr>
        <w:t>1998</w:t>
      </w:r>
      <w:r w:rsidRPr="006A2166">
        <w:rPr>
          <w:rFonts w:ascii="Times New Roman" w:hAnsi="Times New Roman" w:cs="Times New Roman"/>
          <w:color w:val="000000" w:themeColor="text1"/>
        </w:rPr>
        <w:t xml:space="preserve"> </w:t>
      </w:r>
      <w:r w:rsidR="0047403C" w:rsidRPr="006A2166">
        <w:rPr>
          <w:rFonts w:ascii="Times New Roman" w:hAnsi="Times New Roman" w:cs="Times New Roman"/>
          <w:color w:val="000000" w:themeColor="text1"/>
        </w:rPr>
        <w:t xml:space="preserve">que </w:t>
      </w:r>
      <w:r w:rsidRPr="006A2166">
        <w:rPr>
          <w:rFonts w:ascii="Times New Roman" w:hAnsi="Times New Roman" w:cs="Times New Roman"/>
          <w:color w:val="000000" w:themeColor="text1"/>
        </w:rPr>
        <w:t>refle</w:t>
      </w:r>
      <w:r w:rsidR="00084365" w:rsidRPr="006A2166">
        <w:rPr>
          <w:rFonts w:ascii="Times New Roman" w:hAnsi="Times New Roman" w:cs="Times New Roman"/>
          <w:color w:val="000000" w:themeColor="text1"/>
        </w:rPr>
        <w:t>ja parcialmente esta</w:t>
      </w:r>
      <w:r w:rsidR="001C1CD6" w:rsidRPr="006A2166">
        <w:rPr>
          <w:rFonts w:ascii="Times New Roman" w:hAnsi="Times New Roman" w:cs="Times New Roman"/>
          <w:color w:val="000000" w:themeColor="text1"/>
        </w:rPr>
        <w:t>s</w:t>
      </w:r>
      <w:r w:rsidR="00084365" w:rsidRPr="006A2166">
        <w:rPr>
          <w:rFonts w:ascii="Times New Roman" w:hAnsi="Times New Roman" w:cs="Times New Roman"/>
          <w:color w:val="000000" w:themeColor="text1"/>
        </w:rPr>
        <w:t xml:space="preserve"> luchas.</w:t>
      </w:r>
      <w:r w:rsidRPr="006A2166">
        <w:rPr>
          <w:rFonts w:ascii="Times New Roman" w:hAnsi="Times New Roman" w:cs="Times New Roman"/>
          <w:color w:val="000000" w:themeColor="text1"/>
        </w:rPr>
        <w:t xml:space="preserve"> Finalmente, los últimos procesos constituyentes de América Latina, la República de Bolivia y</w:t>
      </w:r>
      <w:r w:rsidR="00113249" w:rsidRPr="006A2166">
        <w:rPr>
          <w:rFonts w:ascii="Times New Roman" w:hAnsi="Times New Roman" w:cs="Times New Roman"/>
          <w:color w:val="000000" w:themeColor="text1"/>
        </w:rPr>
        <w:t xml:space="preserve"> la República de Ecuador han </w:t>
      </w:r>
      <w:r w:rsidRPr="006A2166">
        <w:rPr>
          <w:rFonts w:ascii="Times New Roman" w:hAnsi="Times New Roman" w:cs="Times New Roman"/>
          <w:color w:val="000000" w:themeColor="text1"/>
        </w:rPr>
        <w:t xml:space="preserve">reconocido derechos a los pueblos indígenas y han condenado el imperialismo, colonialismo y neocolonialismo. </w:t>
      </w:r>
    </w:p>
    <w:p w14:paraId="41B609AA" w14:textId="77777777" w:rsidR="00517375" w:rsidRPr="006A2166" w:rsidRDefault="00517375" w:rsidP="0025217E">
      <w:pPr>
        <w:spacing w:line="276" w:lineRule="auto"/>
        <w:jc w:val="both"/>
        <w:rPr>
          <w:rFonts w:ascii="Times New Roman" w:hAnsi="Times New Roman" w:cs="Times New Roman"/>
          <w:color w:val="000000" w:themeColor="text1"/>
        </w:rPr>
      </w:pPr>
    </w:p>
    <w:p w14:paraId="7F9D9A18" w14:textId="4C14A71C" w:rsidR="00517375" w:rsidRPr="006A2166" w:rsidRDefault="00517375" w:rsidP="0025217E">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En el caso específico de la República del Ecuador, el concepto de </w:t>
      </w:r>
      <w:r w:rsidRPr="006A2166">
        <w:rPr>
          <w:rFonts w:ascii="Times New Roman" w:hAnsi="Times New Roman" w:cs="Times New Roman"/>
          <w:i/>
          <w:color w:val="000000" w:themeColor="text1"/>
        </w:rPr>
        <w:t>sumak kawsay</w:t>
      </w:r>
      <w:r w:rsidRPr="006A2166">
        <w:rPr>
          <w:rFonts w:ascii="Times New Roman" w:hAnsi="Times New Roman" w:cs="Times New Roman"/>
          <w:color w:val="000000" w:themeColor="text1"/>
        </w:rPr>
        <w:t>, el listado de derechos de las comunas, pueblos y naciona</w:t>
      </w:r>
      <w:r w:rsidR="00113249" w:rsidRPr="006A2166">
        <w:rPr>
          <w:rFonts w:ascii="Times New Roman" w:hAnsi="Times New Roman" w:cs="Times New Roman"/>
          <w:color w:val="000000" w:themeColor="text1"/>
        </w:rPr>
        <w:t>lidades indígenas en la Constitu</w:t>
      </w:r>
      <w:r w:rsidRPr="006A2166">
        <w:rPr>
          <w:rFonts w:ascii="Times New Roman" w:hAnsi="Times New Roman" w:cs="Times New Roman"/>
          <w:color w:val="000000" w:themeColor="text1"/>
        </w:rPr>
        <w:t xml:space="preserve">ción de 2008 han sido un avance en el reconocimiento de estos derechos, empero la materialización de los mismos no ha sido garantizada. En otras palabras estos derechos han quedado en papel.  </w:t>
      </w:r>
    </w:p>
    <w:p w14:paraId="5C2D74AA" w14:textId="77777777" w:rsidR="00517375" w:rsidRPr="006A2166" w:rsidRDefault="00517375" w:rsidP="0025217E">
      <w:pPr>
        <w:spacing w:line="276" w:lineRule="auto"/>
        <w:jc w:val="both"/>
        <w:rPr>
          <w:rFonts w:ascii="Times New Roman" w:hAnsi="Times New Roman" w:cs="Times New Roman"/>
          <w:color w:val="000000" w:themeColor="text1"/>
        </w:rPr>
      </w:pPr>
    </w:p>
    <w:p w14:paraId="56E197F7" w14:textId="51CD0506" w:rsidR="00517375" w:rsidRPr="006A2166" w:rsidRDefault="00517375" w:rsidP="0025217E">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En este marco el derecho a la consulta pre-legislativa no ha sido materializado en el Ecuador a las </w:t>
      </w:r>
      <w:r w:rsidR="00113249" w:rsidRPr="006A2166">
        <w:rPr>
          <w:rFonts w:ascii="Times New Roman" w:hAnsi="Times New Roman" w:cs="Times New Roman"/>
          <w:color w:val="000000" w:themeColor="text1"/>
        </w:rPr>
        <w:t xml:space="preserve">comunas, </w:t>
      </w:r>
      <w:r w:rsidRPr="006A2166">
        <w:rPr>
          <w:rFonts w:ascii="Times New Roman" w:hAnsi="Times New Roman" w:cs="Times New Roman"/>
          <w:color w:val="000000" w:themeColor="text1"/>
        </w:rPr>
        <w:t xml:space="preserve">comunidades pueblos y nacionalidades indígenas a partir de la </w:t>
      </w:r>
      <w:r w:rsidRPr="006A2166">
        <w:rPr>
          <w:rFonts w:ascii="Times New Roman" w:hAnsi="Times New Roman" w:cs="Times New Roman"/>
          <w:color w:val="000000" w:themeColor="text1"/>
        </w:rPr>
        <w:lastRenderedPageBreak/>
        <w:t xml:space="preserve">Constitución de 2008, puesto que la aprobación de la Ley de Recursos </w:t>
      </w:r>
      <w:r w:rsidR="00A455A1" w:rsidRPr="006A2166">
        <w:rPr>
          <w:rFonts w:ascii="Times New Roman" w:hAnsi="Times New Roman" w:cs="Times New Roman"/>
          <w:color w:val="000000" w:themeColor="text1"/>
        </w:rPr>
        <w:t>Hídricos</w:t>
      </w:r>
      <w:r w:rsidRPr="006A2166">
        <w:rPr>
          <w:rFonts w:ascii="Times New Roman" w:hAnsi="Times New Roman" w:cs="Times New Roman"/>
          <w:color w:val="000000" w:themeColor="text1"/>
        </w:rPr>
        <w:t>, la Ley de Tierras, la Ley de Minería han sido aprobadas sin la participación de comunas, pueblos y nacionalidades indígenas.</w:t>
      </w:r>
    </w:p>
    <w:p w14:paraId="278FC263" w14:textId="77777777" w:rsidR="00517375" w:rsidRPr="006A2166" w:rsidRDefault="00517375" w:rsidP="0025217E">
      <w:pPr>
        <w:spacing w:line="276" w:lineRule="auto"/>
        <w:jc w:val="both"/>
        <w:rPr>
          <w:rFonts w:ascii="Times New Roman" w:hAnsi="Times New Roman" w:cs="Times New Roman"/>
          <w:color w:val="000000" w:themeColor="text1"/>
        </w:rPr>
      </w:pPr>
    </w:p>
    <w:p w14:paraId="512119C5" w14:textId="792CE1F2" w:rsidR="00517375" w:rsidRPr="006A2166" w:rsidRDefault="00517375" w:rsidP="007F0D4A">
      <w:pPr>
        <w:widowControl w:val="0"/>
        <w:autoSpaceDE w:val="0"/>
        <w:autoSpaceDN w:val="0"/>
        <w:adjustRightInd w:val="0"/>
        <w:spacing w:after="240" w:line="276" w:lineRule="auto"/>
        <w:jc w:val="both"/>
        <w:rPr>
          <w:rFonts w:ascii="Times New Roman" w:hAnsi="Times New Roman" w:cs="Times New Roman"/>
          <w:color w:val="000000" w:themeColor="text1"/>
          <w:lang w:val="es-ES"/>
        </w:rPr>
      </w:pPr>
      <w:r w:rsidRPr="006A2166">
        <w:rPr>
          <w:rFonts w:ascii="Times New Roman" w:hAnsi="Times New Roman" w:cs="Times New Roman"/>
          <w:color w:val="000000" w:themeColor="text1"/>
        </w:rPr>
        <w:t xml:space="preserve">     La Corte Constitucional como</w:t>
      </w:r>
      <w:r w:rsidRPr="006A2166">
        <w:rPr>
          <w:rFonts w:ascii="Times New Roman" w:hAnsi="Times New Roman" w:cs="Times New Roman"/>
          <w:color w:val="000000" w:themeColor="text1"/>
          <w:lang w:val="es-ES"/>
        </w:rPr>
        <w:t xml:space="preserve"> máximo órgano de control, interpretación constitucional  (CRE,2008,</w:t>
      </w:r>
      <w:r w:rsidR="00A455A1" w:rsidRPr="006A2166">
        <w:rPr>
          <w:rFonts w:ascii="Times New Roman" w:hAnsi="Times New Roman" w:cs="Times New Roman"/>
          <w:color w:val="000000" w:themeColor="text1"/>
          <w:lang w:val="es-ES"/>
        </w:rPr>
        <w:t xml:space="preserve"> </w:t>
      </w:r>
      <w:r w:rsidRPr="006A2166">
        <w:rPr>
          <w:rFonts w:ascii="Times New Roman" w:hAnsi="Times New Roman" w:cs="Times New Roman"/>
          <w:color w:val="000000" w:themeColor="text1"/>
          <w:lang w:val="es-ES"/>
        </w:rPr>
        <w:t>Art.</w:t>
      </w:r>
      <w:r w:rsidR="0047403C" w:rsidRPr="006A2166">
        <w:rPr>
          <w:rFonts w:ascii="Times New Roman" w:hAnsi="Times New Roman" w:cs="Times New Roman"/>
          <w:color w:val="000000" w:themeColor="text1"/>
          <w:lang w:val="es-ES"/>
        </w:rPr>
        <w:t xml:space="preserve"> </w:t>
      </w:r>
      <w:r w:rsidRPr="006A2166">
        <w:rPr>
          <w:rFonts w:ascii="Times New Roman" w:hAnsi="Times New Roman" w:cs="Times New Roman"/>
          <w:color w:val="000000" w:themeColor="text1"/>
          <w:lang w:val="es-ES"/>
        </w:rPr>
        <w:t>429) llegó a conocer una demanda de declaratoria de inconstituci</w:t>
      </w:r>
      <w:r w:rsidR="001C1CD6" w:rsidRPr="006A2166">
        <w:rPr>
          <w:rFonts w:ascii="Times New Roman" w:hAnsi="Times New Roman" w:cs="Times New Roman"/>
          <w:color w:val="000000" w:themeColor="text1"/>
          <w:lang w:val="es-ES"/>
        </w:rPr>
        <w:t xml:space="preserve">onalidad de la Ley de Minería, </w:t>
      </w:r>
      <w:r w:rsidRPr="006A2166">
        <w:rPr>
          <w:rFonts w:ascii="Times New Roman" w:hAnsi="Times New Roman" w:cs="Times New Roman"/>
          <w:color w:val="000000" w:themeColor="text1"/>
          <w:lang w:val="es-ES"/>
        </w:rPr>
        <w:t xml:space="preserve">donde </w:t>
      </w:r>
      <w:r w:rsidRPr="006A2166">
        <w:rPr>
          <w:rFonts w:ascii="Times New Roman" w:eastAsia="Times New Roman" w:hAnsi="Times New Roman" w:cs="Times New Roman"/>
          <w:color w:val="000000" w:themeColor="text1"/>
        </w:rPr>
        <w:t>los proponentes alegan en lo principal la inconstitucionalidad formal y material de la Ley por no haberse realizado previamente la consulta pre-legislativa</w:t>
      </w:r>
    </w:p>
    <w:p w14:paraId="7DE6712E" w14:textId="3B162C88" w:rsidR="00517375" w:rsidRPr="006A2166" w:rsidRDefault="00517375" w:rsidP="007F0D4A">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A partir de esta constatación es menester cuestionarse ¿Cómo incide la sentencia de la Corte Constitucional ecuatoriana en la garantía del derecho a la consulta </w:t>
      </w:r>
      <w:r w:rsidR="00A455A1" w:rsidRPr="006A2166">
        <w:rPr>
          <w:rFonts w:ascii="Times New Roman" w:hAnsi="Times New Roman" w:cs="Times New Roman"/>
          <w:color w:val="000000" w:themeColor="text1"/>
        </w:rPr>
        <w:t>pre legislativa</w:t>
      </w:r>
      <w:r w:rsidRPr="006A2166">
        <w:rPr>
          <w:rFonts w:ascii="Times New Roman" w:hAnsi="Times New Roman" w:cs="Times New Roman"/>
          <w:color w:val="000000" w:themeColor="text1"/>
        </w:rPr>
        <w:t>?</w:t>
      </w:r>
    </w:p>
    <w:p w14:paraId="49E4F919" w14:textId="77777777" w:rsidR="0047403C" w:rsidRPr="006A2166" w:rsidRDefault="0047403C" w:rsidP="007F0D4A">
      <w:pPr>
        <w:spacing w:line="276" w:lineRule="auto"/>
        <w:jc w:val="both"/>
        <w:rPr>
          <w:rFonts w:ascii="Times New Roman" w:hAnsi="Times New Roman" w:cs="Times New Roman"/>
          <w:color w:val="000000" w:themeColor="text1"/>
        </w:rPr>
      </w:pPr>
    </w:p>
    <w:p w14:paraId="70351B68" w14:textId="1FC5EED6" w:rsidR="0047403C" w:rsidRPr="006A2166" w:rsidRDefault="0047403C" w:rsidP="007F0D4A">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El objetivo general es determinar los efectos de la sentencia de la Corte Constitucional en la garantía del derecho a la consulta pre legislativa. </w:t>
      </w:r>
    </w:p>
    <w:p w14:paraId="5B196054" w14:textId="77777777" w:rsidR="0047403C" w:rsidRPr="006A2166" w:rsidRDefault="0047403C" w:rsidP="007F0D4A">
      <w:pPr>
        <w:spacing w:line="276" w:lineRule="auto"/>
        <w:jc w:val="both"/>
        <w:rPr>
          <w:rFonts w:ascii="Times New Roman" w:hAnsi="Times New Roman" w:cs="Times New Roman"/>
        </w:rPr>
      </w:pPr>
    </w:p>
    <w:p w14:paraId="77916555" w14:textId="39C01BE0" w:rsidR="0047403C" w:rsidRPr="006A2166" w:rsidRDefault="0047403C" w:rsidP="007F0D4A">
      <w:pPr>
        <w:spacing w:line="276" w:lineRule="auto"/>
        <w:jc w:val="both"/>
        <w:rPr>
          <w:rFonts w:ascii="Times New Roman" w:eastAsia="Times New Roman" w:hAnsi="Times New Roman" w:cs="Times New Roman"/>
          <w:lang w:val="es-EC"/>
        </w:rPr>
      </w:pPr>
      <w:r w:rsidRPr="006A2166">
        <w:rPr>
          <w:rFonts w:ascii="Times New Roman" w:eastAsia="Times New Roman" w:hAnsi="Times New Roman" w:cs="Times New Roman"/>
        </w:rPr>
        <w:t xml:space="preserve">     En cuanto a la metodología a utilizar se aplicará el método sistémico puesto que se recopilan normas nacionales e internacionales, sentencias de la Corte Interamericana de Derechos Humanos y textos que analizan sobre el derecho a los territorios de las comunidades, pueblos y nacionalidades indígenas y el derecho a la consulta pre-legislativa. Además se utiliza el método analítico puesto que se analizan las causas y efectos de la sentencia de la Corte Constitucional ecuatoriana y</w:t>
      </w:r>
      <w:r w:rsidR="007F0D4A" w:rsidRPr="006A2166">
        <w:rPr>
          <w:rFonts w:ascii="Times New Roman" w:eastAsia="Times New Roman" w:hAnsi="Times New Roman" w:cs="Times New Roman"/>
        </w:rPr>
        <w:t xml:space="preserve"> finalmente, se utiliza el mé</w:t>
      </w:r>
      <w:r w:rsidRPr="006A2166">
        <w:rPr>
          <w:rFonts w:ascii="Times New Roman" w:eastAsia="Times New Roman" w:hAnsi="Times New Roman" w:cs="Times New Roman"/>
        </w:rPr>
        <w:t xml:space="preserve">todo hermenéutico puesto que a través de la </w:t>
      </w:r>
      <w:r w:rsidRPr="006A2166">
        <w:rPr>
          <w:rFonts w:ascii="Times New Roman" w:eastAsia="Times New Roman" w:hAnsi="Times New Roman" w:cs="Times New Roman"/>
          <w:shd w:val="clear" w:color="auto" w:fill="FFFFFF"/>
          <w:lang w:val="es-EC"/>
        </w:rPr>
        <w:t>interpretación lingüística se busca analizar normas nacionales e internacionales, así como la sentencia de la Corte Constitucional</w:t>
      </w:r>
      <w:r w:rsidR="007F0D4A" w:rsidRPr="006A2166">
        <w:rPr>
          <w:rFonts w:ascii="Times New Roman" w:eastAsia="Times New Roman" w:hAnsi="Times New Roman" w:cs="Times New Roman"/>
          <w:shd w:val="clear" w:color="auto" w:fill="FFFFFF"/>
          <w:lang w:val="es-EC"/>
        </w:rPr>
        <w:t>, materia de este estudio en el presente trabajo</w:t>
      </w:r>
      <w:r w:rsidRPr="006A2166">
        <w:rPr>
          <w:rFonts w:ascii="Times New Roman" w:eastAsia="Times New Roman" w:hAnsi="Times New Roman" w:cs="Times New Roman"/>
          <w:shd w:val="clear" w:color="auto" w:fill="FFFFFF"/>
          <w:lang w:val="es-EC"/>
        </w:rPr>
        <w:t>.</w:t>
      </w:r>
    </w:p>
    <w:p w14:paraId="0C90F104" w14:textId="77777777" w:rsidR="00517375" w:rsidRPr="006A2166" w:rsidRDefault="00517375" w:rsidP="007F0D4A">
      <w:pPr>
        <w:spacing w:line="276" w:lineRule="auto"/>
        <w:jc w:val="both"/>
        <w:rPr>
          <w:rFonts w:ascii="Times New Roman" w:hAnsi="Times New Roman" w:cs="Times New Roman"/>
          <w:color w:val="000000" w:themeColor="text1"/>
        </w:rPr>
      </w:pPr>
    </w:p>
    <w:p w14:paraId="2F7AF14F" w14:textId="7161333E" w:rsidR="00517375" w:rsidRPr="006A2166" w:rsidRDefault="00517375" w:rsidP="007F0D4A">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Para el propósito de este trabajo se analizará A) </w:t>
      </w:r>
      <w:r w:rsidR="00084365" w:rsidRPr="006A2166">
        <w:rPr>
          <w:rFonts w:ascii="Times New Roman" w:hAnsi="Times New Roman" w:cs="Times New Roman"/>
          <w:color w:val="000000" w:themeColor="text1"/>
        </w:rPr>
        <w:t xml:space="preserve">el derecho al territorio de pueblos y nacionalidades indígenas </w:t>
      </w:r>
      <w:r w:rsidRPr="006A2166">
        <w:rPr>
          <w:rFonts w:ascii="Times New Roman" w:hAnsi="Times New Roman" w:cs="Times New Roman"/>
          <w:color w:val="000000" w:themeColor="text1"/>
        </w:rPr>
        <w:t xml:space="preserve">y B) </w:t>
      </w:r>
      <w:r w:rsidR="00084365" w:rsidRPr="006A2166">
        <w:rPr>
          <w:rFonts w:ascii="Times New Roman" w:hAnsi="Times New Roman" w:cs="Times New Roman"/>
          <w:color w:val="000000" w:themeColor="text1"/>
        </w:rPr>
        <w:t>la consulta pre-legislativa.</w:t>
      </w:r>
    </w:p>
    <w:p w14:paraId="1A8828C9" w14:textId="77777777" w:rsidR="00517375" w:rsidRPr="006A2166" w:rsidRDefault="00517375" w:rsidP="0025217E">
      <w:pPr>
        <w:spacing w:line="276" w:lineRule="auto"/>
        <w:jc w:val="both"/>
        <w:rPr>
          <w:rFonts w:ascii="Times New Roman" w:hAnsi="Times New Roman" w:cs="Times New Roman"/>
          <w:color w:val="000000" w:themeColor="text1"/>
        </w:rPr>
      </w:pPr>
    </w:p>
    <w:p w14:paraId="19FA3EDD" w14:textId="77777777" w:rsidR="007F0D4A" w:rsidRPr="006A2166" w:rsidRDefault="007F0D4A" w:rsidP="0025217E">
      <w:pPr>
        <w:spacing w:line="276" w:lineRule="auto"/>
        <w:jc w:val="both"/>
        <w:rPr>
          <w:rFonts w:ascii="Times New Roman" w:hAnsi="Times New Roman" w:cs="Times New Roman"/>
          <w:color w:val="000000" w:themeColor="text1"/>
        </w:rPr>
      </w:pPr>
    </w:p>
    <w:p w14:paraId="304A59A3" w14:textId="77777777" w:rsidR="007F0D4A" w:rsidRPr="006A2166" w:rsidRDefault="007F0D4A" w:rsidP="0025217E">
      <w:pPr>
        <w:spacing w:line="276" w:lineRule="auto"/>
        <w:jc w:val="both"/>
        <w:rPr>
          <w:rFonts w:ascii="Times New Roman" w:hAnsi="Times New Roman" w:cs="Times New Roman"/>
          <w:color w:val="000000" w:themeColor="text1"/>
        </w:rPr>
      </w:pPr>
    </w:p>
    <w:p w14:paraId="74916CA0" w14:textId="36DD27D2" w:rsidR="00517375" w:rsidRPr="006A2166" w:rsidRDefault="00517375" w:rsidP="0025217E">
      <w:pPr>
        <w:spacing w:line="276" w:lineRule="auto"/>
        <w:jc w:val="both"/>
        <w:rPr>
          <w:rFonts w:ascii="Times New Roman" w:hAnsi="Times New Roman" w:cs="Times New Roman"/>
          <w:b/>
          <w:color w:val="000000" w:themeColor="text1"/>
        </w:rPr>
      </w:pPr>
      <w:r w:rsidRPr="006A2166">
        <w:rPr>
          <w:rFonts w:ascii="Times New Roman" w:hAnsi="Times New Roman" w:cs="Times New Roman"/>
          <w:b/>
          <w:color w:val="000000" w:themeColor="text1"/>
        </w:rPr>
        <w:t>I. ¿</w:t>
      </w:r>
      <w:r w:rsidR="00632B27" w:rsidRPr="006A2166">
        <w:rPr>
          <w:rFonts w:ascii="Times New Roman" w:hAnsi="Times New Roman" w:cs="Times New Roman"/>
          <w:b/>
          <w:color w:val="000000" w:themeColor="text1"/>
        </w:rPr>
        <w:t>Existió una v</w:t>
      </w:r>
      <w:r w:rsidRPr="006A2166">
        <w:rPr>
          <w:rFonts w:ascii="Times New Roman" w:hAnsi="Times New Roman" w:cs="Times New Roman"/>
          <w:b/>
          <w:color w:val="000000" w:themeColor="text1"/>
        </w:rPr>
        <w:t>ulneración a los derechos colectivos?</w:t>
      </w:r>
    </w:p>
    <w:p w14:paraId="0A012C84" w14:textId="77777777" w:rsidR="00517375" w:rsidRPr="006A2166" w:rsidRDefault="00517375" w:rsidP="0025217E">
      <w:pPr>
        <w:spacing w:line="276" w:lineRule="auto"/>
        <w:jc w:val="both"/>
        <w:rPr>
          <w:rFonts w:ascii="Times New Roman" w:hAnsi="Times New Roman" w:cs="Times New Roman"/>
          <w:color w:val="000000" w:themeColor="text1"/>
        </w:rPr>
      </w:pPr>
    </w:p>
    <w:p w14:paraId="6A157720" w14:textId="6D56B201" w:rsidR="00517375" w:rsidRPr="006A2166" w:rsidRDefault="00517375" w:rsidP="0025217E">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Una vez que se promulga la Ley de Minería,</w:t>
      </w:r>
      <w:r w:rsidRPr="006A2166">
        <w:rPr>
          <w:rStyle w:val="Refdenotaalpie"/>
          <w:rFonts w:ascii="Times New Roman" w:hAnsi="Times New Roman" w:cs="Times New Roman"/>
          <w:color w:val="000000" w:themeColor="text1"/>
        </w:rPr>
        <w:footnoteReference w:id="7"/>
      </w:r>
      <w:r w:rsidRPr="006A2166">
        <w:rPr>
          <w:rFonts w:ascii="Times New Roman" w:hAnsi="Times New Roman" w:cs="Times New Roman"/>
          <w:color w:val="000000" w:themeColor="text1"/>
        </w:rPr>
        <w:t xml:space="preserve"> la Confederación de nacionalidades indígenas del Ecuador; y, Carlos Pérez Guartambel – Presidente de los Sistemas Comunitarios de agua de las parroquias Tarqui, Victoria del Portete y otras comunidades del Azuay presentan dos acciones de inconstitucionalidad signadas con los números 008-09-IN y No. 11-09-IN respectivamente. En virtud de la identidad de sujeto pasivo, objeto y de acción de las dos demandas se acumulan las causas y se procede al trámite de las mismas.</w:t>
      </w:r>
    </w:p>
    <w:p w14:paraId="54880926" w14:textId="77777777" w:rsidR="00517375" w:rsidRPr="006A2166" w:rsidRDefault="00517375" w:rsidP="0025217E">
      <w:pPr>
        <w:spacing w:line="276" w:lineRule="auto"/>
        <w:jc w:val="both"/>
        <w:rPr>
          <w:rFonts w:ascii="Times New Roman" w:hAnsi="Times New Roman" w:cs="Times New Roman"/>
          <w:color w:val="000000" w:themeColor="text1"/>
        </w:rPr>
      </w:pPr>
    </w:p>
    <w:p w14:paraId="385F3FF0" w14:textId="3899FCFB" w:rsidR="00517375" w:rsidRPr="006A2166" w:rsidRDefault="00517375" w:rsidP="0025217E">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lastRenderedPageBreak/>
        <w:t xml:space="preserve">     Los accionantes solicitan se declare la inconstitucionalidad de fondo y de forma de la Ley de Minería puesto que vulneran varios derechos colectivos, entre ellos el derecho al territorio y el derecho a la consulta pre-legislativa. </w:t>
      </w:r>
    </w:p>
    <w:p w14:paraId="74261CC2" w14:textId="77777777" w:rsidR="00230877" w:rsidRPr="006A2166" w:rsidRDefault="00230877" w:rsidP="0025217E">
      <w:pPr>
        <w:spacing w:line="276" w:lineRule="auto"/>
        <w:jc w:val="both"/>
        <w:rPr>
          <w:rFonts w:ascii="Times New Roman" w:hAnsi="Times New Roman" w:cs="Times New Roman"/>
          <w:color w:val="000000" w:themeColor="text1"/>
        </w:rPr>
      </w:pPr>
    </w:p>
    <w:p w14:paraId="501B5938" w14:textId="20211343" w:rsidR="00517375" w:rsidRPr="006A2166" w:rsidRDefault="00517375" w:rsidP="0025217E">
      <w:pPr>
        <w:pStyle w:val="Prrafodelista"/>
        <w:numPr>
          <w:ilvl w:val="0"/>
          <w:numId w:val="5"/>
        </w:numPr>
        <w:spacing w:line="276" w:lineRule="auto"/>
        <w:jc w:val="both"/>
        <w:rPr>
          <w:rFonts w:ascii="Times New Roman" w:hAnsi="Times New Roman" w:cs="Times New Roman"/>
          <w:b/>
          <w:color w:val="000000" w:themeColor="text1"/>
        </w:rPr>
      </w:pPr>
      <w:r w:rsidRPr="006A2166">
        <w:rPr>
          <w:rFonts w:ascii="Times New Roman" w:hAnsi="Times New Roman" w:cs="Times New Roman"/>
          <w:b/>
          <w:color w:val="000000" w:themeColor="text1"/>
        </w:rPr>
        <w:t>El derechos de las comunas, comunidades, pueblos y nacionalidades indígenas</w:t>
      </w:r>
      <w:r w:rsidR="00230877" w:rsidRPr="006A2166">
        <w:rPr>
          <w:rFonts w:ascii="Times New Roman" w:hAnsi="Times New Roman" w:cs="Times New Roman"/>
          <w:b/>
          <w:color w:val="000000" w:themeColor="text1"/>
        </w:rPr>
        <w:t xml:space="preserve"> </w:t>
      </w:r>
      <w:r w:rsidRPr="006A2166">
        <w:rPr>
          <w:rFonts w:ascii="Times New Roman" w:hAnsi="Times New Roman" w:cs="Times New Roman"/>
          <w:b/>
          <w:color w:val="000000" w:themeColor="text1"/>
        </w:rPr>
        <w:t>a sus territorios.</w:t>
      </w:r>
    </w:p>
    <w:p w14:paraId="14C0342C" w14:textId="51B6DAA6" w:rsidR="00517375" w:rsidRPr="006A2166" w:rsidRDefault="00517375" w:rsidP="0025217E">
      <w:pPr>
        <w:pStyle w:val="NormalWeb"/>
        <w:spacing w:line="276" w:lineRule="auto"/>
        <w:jc w:val="both"/>
        <w:rPr>
          <w:rFonts w:ascii="Times New Roman" w:hAnsi="Times New Roman"/>
          <w:color w:val="000000" w:themeColor="text1"/>
          <w:sz w:val="24"/>
          <w:szCs w:val="24"/>
        </w:rPr>
      </w:pPr>
      <w:r w:rsidRPr="006A2166">
        <w:rPr>
          <w:rFonts w:ascii="Times New Roman" w:hAnsi="Times New Roman"/>
          <w:color w:val="000000" w:themeColor="text1"/>
          <w:sz w:val="24"/>
          <w:szCs w:val="24"/>
        </w:rPr>
        <w:t xml:space="preserve">     En relación a los territorios indígenas, es importante señalar que el concepto de tierra para estas comunidades no se fundamenta en el derecho a la propiedad desde la visión occidental sino que es parte esencial de su identidad. Así el Relator Martínez Cobo en las C</w:t>
      </w:r>
      <w:r w:rsidR="00230877" w:rsidRPr="006A2166">
        <w:rPr>
          <w:rFonts w:ascii="Times New Roman" w:hAnsi="Times New Roman"/>
          <w:color w:val="000000" w:themeColor="text1"/>
          <w:sz w:val="24"/>
          <w:szCs w:val="24"/>
        </w:rPr>
        <w:t>onclusiones de su Estudio del p</w:t>
      </w:r>
      <w:r w:rsidR="00DB706B">
        <w:rPr>
          <w:rFonts w:ascii="Times New Roman" w:hAnsi="Times New Roman"/>
          <w:color w:val="000000" w:themeColor="text1"/>
          <w:sz w:val="24"/>
          <w:szCs w:val="24"/>
        </w:rPr>
        <w:t>roblema</w:t>
      </w:r>
      <w:r w:rsidRPr="006A2166">
        <w:rPr>
          <w:rFonts w:ascii="Times New Roman" w:hAnsi="Times New Roman"/>
          <w:color w:val="000000" w:themeColor="text1"/>
          <w:sz w:val="24"/>
          <w:szCs w:val="24"/>
        </w:rPr>
        <w:t xml:space="preserve"> de la Discriminación contra las Poblaciones Indígenas señalaba que: “es esencial que se conozca y comprenda la relación especial profundamente espiritual que tienen los aborígenes con sus tierras, como algo básico e</w:t>
      </w:r>
      <w:r w:rsidR="006A5CA6" w:rsidRPr="006A2166">
        <w:rPr>
          <w:rFonts w:ascii="Times New Roman" w:hAnsi="Times New Roman"/>
          <w:color w:val="000000" w:themeColor="text1"/>
          <w:sz w:val="24"/>
          <w:szCs w:val="24"/>
        </w:rPr>
        <w:t xml:space="preserve">n su existencia como tal, y en </w:t>
      </w:r>
      <w:r w:rsidRPr="006A2166">
        <w:rPr>
          <w:rFonts w:ascii="Times New Roman" w:hAnsi="Times New Roman"/>
          <w:color w:val="000000" w:themeColor="text1"/>
          <w:sz w:val="24"/>
          <w:szCs w:val="24"/>
        </w:rPr>
        <w:t>todas sus creencias costumbres, tradiciones y cultura.” (Martínez- Cobo, 1986, p</w:t>
      </w:r>
      <w:r w:rsidR="001C1CD6" w:rsidRPr="006A2166">
        <w:rPr>
          <w:rFonts w:ascii="Times New Roman" w:hAnsi="Times New Roman"/>
          <w:color w:val="000000" w:themeColor="text1"/>
          <w:sz w:val="24"/>
          <w:szCs w:val="24"/>
        </w:rPr>
        <w:t>árr</w:t>
      </w:r>
      <w:r w:rsidRPr="006A2166">
        <w:rPr>
          <w:rFonts w:ascii="Times New Roman" w:hAnsi="Times New Roman"/>
          <w:color w:val="000000" w:themeColor="text1"/>
          <w:sz w:val="24"/>
          <w:szCs w:val="24"/>
        </w:rPr>
        <w:t>.</w:t>
      </w:r>
      <w:r w:rsidR="001C1CD6" w:rsidRPr="006A2166">
        <w:rPr>
          <w:rFonts w:ascii="Times New Roman" w:hAnsi="Times New Roman"/>
          <w:color w:val="000000" w:themeColor="text1"/>
          <w:sz w:val="24"/>
          <w:szCs w:val="24"/>
        </w:rPr>
        <w:t xml:space="preserve"> 196-197</w:t>
      </w:r>
      <w:r w:rsidRPr="006A2166">
        <w:rPr>
          <w:rFonts w:ascii="Times New Roman" w:hAnsi="Times New Roman"/>
          <w:color w:val="000000" w:themeColor="text1"/>
          <w:sz w:val="24"/>
          <w:szCs w:val="24"/>
        </w:rPr>
        <w:t>)</w:t>
      </w:r>
      <w:r w:rsidR="006A5CA6" w:rsidRPr="006A2166">
        <w:rPr>
          <w:rFonts w:ascii="Times New Roman" w:hAnsi="Times New Roman"/>
          <w:color w:val="000000" w:themeColor="text1"/>
          <w:sz w:val="24"/>
          <w:szCs w:val="24"/>
        </w:rPr>
        <w:t>. En el mismo sentido la CIDH en el caso de la Comunidad Indíg</w:t>
      </w:r>
      <w:r w:rsidR="00113249" w:rsidRPr="006A2166">
        <w:rPr>
          <w:rFonts w:ascii="Times New Roman" w:hAnsi="Times New Roman"/>
          <w:color w:val="000000" w:themeColor="text1"/>
          <w:sz w:val="24"/>
          <w:szCs w:val="24"/>
        </w:rPr>
        <w:t>ena Yayke Aza vs Paraguay señaló</w:t>
      </w:r>
      <w:r w:rsidR="006A5CA6" w:rsidRPr="006A2166">
        <w:rPr>
          <w:rFonts w:ascii="Times New Roman" w:hAnsi="Times New Roman"/>
          <w:color w:val="000000" w:themeColor="text1"/>
          <w:sz w:val="24"/>
          <w:szCs w:val="24"/>
        </w:rPr>
        <w:t>: la existencia de una estrecha relación de las comunidades con sus territorios tradicionales y los recursos que allí se encuentran “porque constituyen un elemento integrante de su cosmovisión, religiosidad y, por ende, de su identidad cultural</w:t>
      </w:r>
      <w:r w:rsidR="00794E1B" w:rsidRPr="006A2166">
        <w:rPr>
          <w:rFonts w:ascii="Times New Roman" w:hAnsi="Times New Roman"/>
          <w:color w:val="000000" w:themeColor="text1"/>
          <w:sz w:val="24"/>
          <w:szCs w:val="24"/>
        </w:rPr>
        <w:t>.”</w:t>
      </w:r>
      <w:r w:rsidR="001C1CD6" w:rsidRPr="006A2166">
        <w:rPr>
          <w:rFonts w:ascii="Times New Roman" w:hAnsi="Times New Roman"/>
          <w:color w:val="000000" w:themeColor="text1"/>
          <w:sz w:val="24"/>
          <w:szCs w:val="24"/>
        </w:rPr>
        <w:t xml:space="preserve"> (CIDH, 2005, </w:t>
      </w:r>
      <w:r w:rsidR="006A5CA6" w:rsidRPr="006A2166">
        <w:rPr>
          <w:rFonts w:ascii="Times New Roman" w:hAnsi="Times New Roman"/>
          <w:color w:val="000000" w:themeColor="text1"/>
          <w:sz w:val="24"/>
          <w:szCs w:val="24"/>
        </w:rPr>
        <w:t>párra 135)</w:t>
      </w:r>
      <w:r w:rsidR="00230877" w:rsidRPr="006A2166">
        <w:rPr>
          <w:rFonts w:ascii="Times New Roman" w:hAnsi="Times New Roman"/>
          <w:color w:val="000000" w:themeColor="text1"/>
          <w:sz w:val="24"/>
          <w:szCs w:val="24"/>
        </w:rPr>
        <w:t xml:space="preserve"> </w:t>
      </w:r>
      <w:r w:rsidR="00084365" w:rsidRPr="006A2166">
        <w:rPr>
          <w:rFonts w:ascii="Times New Roman" w:hAnsi="Times New Roman"/>
          <w:color w:val="000000" w:themeColor="text1"/>
          <w:sz w:val="24"/>
          <w:szCs w:val="24"/>
        </w:rPr>
        <w:t xml:space="preserve">En consecuencia, se </w:t>
      </w:r>
      <w:r w:rsidR="00230877" w:rsidRPr="006A2166">
        <w:rPr>
          <w:rFonts w:ascii="Times New Roman" w:hAnsi="Times New Roman"/>
          <w:color w:val="000000" w:themeColor="text1"/>
          <w:sz w:val="24"/>
          <w:szCs w:val="24"/>
        </w:rPr>
        <w:t>demuestra el vínculo especial que tiene</w:t>
      </w:r>
      <w:r w:rsidR="00084365" w:rsidRPr="006A2166">
        <w:rPr>
          <w:rFonts w:ascii="Times New Roman" w:hAnsi="Times New Roman"/>
          <w:color w:val="000000" w:themeColor="text1"/>
          <w:sz w:val="24"/>
          <w:szCs w:val="24"/>
        </w:rPr>
        <w:t>n</w:t>
      </w:r>
      <w:r w:rsidR="00230877" w:rsidRPr="006A2166">
        <w:rPr>
          <w:rFonts w:ascii="Times New Roman" w:hAnsi="Times New Roman"/>
          <w:color w:val="000000" w:themeColor="text1"/>
          <w:sz w:val="24"/>
          <w:szCs w:val="24"/>
        </w:rPr>
        <w:t xml:space="preserve"> </w:t>
      </w:r>
      <w:r w:rsidR="00084365" w:rsidRPr="006A2166">
        <w:rPr>
          <w:rFonts w:ascii="Times New Roman" w:hAnsi="Times New Roman"/>
          <w:color w:val="000000" w:themeColor="text1"/>
          <w:sz w:val="24"/>
          <w:szCs w:val="24"/>
        </w:rPr>
        <w:t>las comunidades con su territoro.</w:t>
      </w:r>
    </w:p>
    <w:p w14:paraId="2C9E47AA" w14:textId="588DA068" w:rsidR="00517375" w:rsidRPr="006A2166" w:rsidRDefault="00517375" w:rsidP="0025217E">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En el caso de análisis, la Ley de Minería ecuatoriana dentro de sus artículos </w:t>
      </w:r>
      <w:r w:rsidR="00A455A1" w:rsidRPr="006A2166">
        <w:rPr>
          <w:rFonts w:ascii="Times New Roman" w:hAnsi="Times New Roman" w:cs="Times New Roman"/>
          <w:color w:val="000000" w:themeColor="text1"/>
        </w:rPr>
        <w:t>contemplaba</w:t>
      </w:r>
      <w:r w:rsidRPr="006A2166">
        <w:rPr>
          <w:rFonts w:ascii="Times New Roman" w:hAnsi="Times New Roman" w:cs="Times New Roman"/>
          <w:color w:val="000000" w:themeColor="text1"/>
        </w:rPr>
        <w:t xml:space="preserve">: i) la </w:t>
      </w:r>
      <w:r w:rsidR="00A455A1" w:rsidRPr="006A2166">
        <w:rPr>
          <w:rFonts w:ascii="Times New Roman" w:hAnsi="Times New Roman" w:cs="Times New Roman"/>
          <w:color w:val="000000" w:themeColor="text1"/>
        </w:rPr>
        <w:t>obligatoriedad</w:t>
      </w:r>
      <w:r w:rsidRPr="006A2166">
        <w:rPr>
          <w:rFonts w:ascii="Times New Roman" w:hAnsi="Times New Roman" w:cs="Times New Roman"/>
          <w:color w:val="000000" w:themeColor="text1"/>
        </w:rPr>
        <w:t xml:space="preserve"> de crear servidumbres para los procesos de explotación de recursos mineros sin establecer explícitamente excepciones a los territorios de comunas, comunidades pueblos y nacionalidades indígenas ii) se garantizaba la libertad de prospección, sin que en las salvedades se incluyan a los territorios de pueblos y </w:t>
      </w:r>
      <w:r w:rsidR="00A455A1" w:rsidRPr="006A2166">
        <w:rPr>
          <w:rFonts w:ascii="Times New Roman" w:hAnsi="Times New Roman" w:cs="Times New Roman"/>
          <w:color w:val="000000" w:themeColor="text1"/>
        </w:rPr>
        <w:t>nacionalidades</w:t>
      </w:r>
      <w:r w:rsidRPr="006A2166">
        <w:rPr>
          <w:rFonts w:ascii="Times New Roman" w:hAnsi="Times New Roman" w:cs="Times New Roman"/>
          <w:color w:val="000000" w:themeColor="text1"/>
        </w:rPr>
        <w:t xml:space="preserve"> indígenas, </w:t>
      </w:r>
      <w:r w:rsidR="002753AD" w:rsidRPr="006A2166">
        <w:rPr>
          <w:rFonts w:ascii="Times New Roman" w:hAnsi="Times New Roman" w:cs="Times New Roman"/>
          <w:color w:val="000000" w:themeColor="text1"/>
        </w:rPr>
        <w:t>iii) la posibilidad de declarar de utilidad pública predios para la exploración, y explotación de minerales</w:t>
      </w:r>
      <w:r w:rsidR="001C1CD6" w:rsidRPr="006A2166">
        <w:rPr>
          <w:rFonts w:ascii="Times New Roman" w:hAnsi="Times New Roman" w:cs="Times New Roman"/>
          <w:color w:val="000000" w:themeColor="text1"/>
        </w:rPr>
        <w:t xml:space="preserve"> y</w:t>
      </w:r>
      <w:r w:rsidR="002753AD" w:rsidRPr="006A2166">
        <w:rPr>
          <w:rFonts w:ascii="Times New Roman" w:hAnsi="Times New Roman" w:cs="Times New Roman"/>
          <w:color w:val="000000" w:themeColor="text1"/>
        </w:rPr>
        <w:t xml:space="preserve"> </w:t>
      </w:r>
      <w:r w:rsidR="00084365" w:rsidRPr="006A2166">
        <w:rPr>
          <w:rFonts w:ascii="Times New Roman" w:hAnsi="Times New Roman" w:cs="Times New Roman"/>
          <w:color w:val="000000" w:themeColor="text1"/>
        </w:rPr>
        <w:t>iv</w:t>
      </w:r>
      <w:r w:rsidRPr="006A2166">
        <w:rPr>
          <w:rFonts w:ascii="Times New Roman" w:hAnsi="Times New Roman" w:cs="Times New Roman"/>
          <w:color w:val="000000" w:themeColor="text1"/>
        </w:rPr>
        <w:t xml:space="preserve">) abría la actividad minera a gran escala y cielo abierto, modalidad incompatible con la conservación ambiental y uso sostenible de su medio ambiente. </w:t>
      </w:r>
    </w:p>
    <w:p w14:paraId="4F3009C4" w14:textId="77777777" w:rsidR="00517375" w:rsidRPr="006A2166" w:rsidRDefault="00517375" w:rsidP="0025217E">
      <w:pPr>
        <w:spacing w:line="276" w:lineRule="auto"/>
        <w:jc w:val="both"/>
        <w:rPr>
          <w:rFonts w:ascii="Times New Roman" w:hAnsi="Times New Roman" w:cs="Times New Roman"/>
          <w:color w:val="000000" w:themeColor="text1"/>
        </w:rPr>
      </w:pPr>
    </w:p>
    <w:p w14:paraId="06B49023" w14:textId="2CF9CEC8" w:rsidR="0024301D" w:rsidRPr="006A2166" w:rsidRDefault="00517375" w:rsidP="0025217E">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Estas disposiciones en lo principal fueron alegadas, puesto que en las tierras de los pueblos y nacionalidades indígenas es donde se encuentra la mayor cantidad de estos recursos naturales. Así en el ámbito nacional, la Constitución de la República del Ecuador en su artículo 57 garantiza el derecho de las tierras de las comunas pueblos y nacionalidades indígenas, las mismas que son inembargab</w:t>
      </w:r>
      <w:r w:rsidR="00C72EA2" w:rsidRPr="006A2166">
        <w:rPr>
          <w:rFonts w:ascii="Times New Roman" w:hAnsi="Times New Roman" w:cs="Times New Roman"/>
          <w:color w:val="000000" w:themeColor="text1"/>
        </w:rPr>
        <w:t>les, inalienables, indivisibles (2008, pp.16-17).</w:t>
      </w:r>
      <w:r w:rsidRPr="006A2166">
        <w:rPr>
          <w:rFonts w:ascii="Times New Roman" w:hAnsi="Times New Roman" w:cs="Times New Roman"/>
          <w:color w:val="000000" w:themeColor="text1"/>
        </w:rPr>
        <w:t xml:space="preserve"> </w:t>
      </w:r>
    </w:p>
    <w:p w14:paraId="19E38A67" w14:textId="77777777" w:rsidR="00517375" w:rsidRPr="006A2166" w:rsidRDefault="00517375" w:rsidP="0025217E">
      <w:pPr>
        <w:spacing w:line="276" w:lineRule="auto"/>
        <w:jc w:val="both"/>
        <w:rPr>
          <w:rFonts w:ascii="Times New Roman" w:hAnsi="Times New Roman" w:cs="Times New Roman"/>
          <w:color w:val="000000" w:themeColor="text1"/>
        </w:rPr>
      </w:pPr>
    </w:p>
    <w:p w14:paraId="49414438" w14:textId="0709C283" w:rsidR="00517375" w:rsidRPr="006A2166" w:rsidRDefault="00517375" w:rsidP="0025217E">
      <w:pPr>
        <w:widowControl w:val="0"/>
        <w:autoSpaceDE w:val="0"/>
        <w:autoSpaceDN w:val="0"/>
        <w:adjustRightInd w:val="0"/>
        <w:spacing w:after="240"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lang w:val="es-ES"/>
        </w:rPr>
        <w:t xml:space="preserve">    </w:t>
      </w:r>
      <w:r w:rsidR="00BF62D1">
        <w:rPr>
          <w:rFonts w:ascii="Times New Roman" w:hAnsi="Times New Roman" w:cs="Times New Roman"/>
          <w:color w:val="000000" w:themeColor="text1"/>
          <w:lang w:val="es-ES"/>
        </w:rPr>
        <w:t xml:space="preserve"> </w:t>
      </w:r>
      <w:r w:rsidRPr="006A2166">
        <w:rPr>
          <w:rFonts w:ascii="Times New Roman" w:hAnsi="Times New Roman" w:cs="Times New Roman"/>
          <w:color w:val="000000" w:themeColor="text1"/>
          <w:lang w:val="es-ES"/>
        </w:rPr>
        <w:t xml:space="preserve">En el ámbito internacional, la Constitución de la República del Ecuador, en su artículo 424 establece el bloque de constitucionalidad al señalar que “La Constitución y los tratados internacionales de derechos humanos ratificados por el Estado que reconozcan derechos más favorables a los contenidos en la Constitución, prevalecerán sobre cualquier otra norma jurídica o acto del poder público. </w:t>
      </w:r>
      <w:r w:rsidRPr="006A2166">
        <w:rPr>
          <w:rFonts w:ascii="Times New Roman" w:hAnsi="Times New Roman" w:cs="Times New Roman"/>
          <w:color w:val="000000" w:themeColor="text1"/>
        </w:rPr>
        <w:t>” (2008, p.</w:t>
      </w:r>
      <w:r w:rsidR="00C72EA2" w:rsidRPr="006A2166">
        <w:rPr>
          <w:rFonts w:ascii="Times New Roman" w:hAnsi="Times New Roman" w:cs="Times New Roman"/>
          <w:color w:val="000000" w:themeColor="text1"/>
        </w:rPr>
        <w:t>70</w:t>
      </w:r>
      <w:r w:rsidRPr="006A2166">
        <w:rPr>
          <w:rFonts w:ascii="Times New Roman" w:hAnsi="Times New Roman" w:cs="Times New Roman"/>
          <w:color w:val="000000" w:themeColor="text1"/>
        </w:rPr>
        <w:t xml:space="preserve"> ) la forma de recepción se ve </w:t>
      </w:r>
      <w:r w:rsidR="00A455A1" w:rsidRPr="006A2166">
        <w:rPr>
          <w:rFonts w:ascii="Times New Roman" w:hAnsi="Times New Roman" w:cs="Times New Roman"/>
          <w:color w:val="000000" w:themeColor="text1"/>
        </w:rPr>
        <w:t>enmarcada</w:t>
      </w:r>
      <w:r w:rsidRPr="006A2166">
        <w:rPr>
          <w:rFonts w:ascii="Times New Roman" w:hAnsi="Times New Roman" w:cs="Times New Roman"/>
          <w:color w:val="000000" w:themeColor="text1"/>
        </w:rPr>
        <w:t xml:space="preserve"> en el </w:t>
      </w:r>
      <w:r w:rsidRPr="006A2166">
        <w:rPr>
          <w:rFonts w:ascii="Times New Roman" w:hAnsi="Times New Roman" w:cs="Times New Roman"/>
          <w:i/>
          <w:color w:val="000000" w:themeColor="text1"/>
        </w:rPr>
        <w:t>indubio pro hominem.</w:t>
      </w:r>
      <w:r w:rsidR="00084365" w:rsidRPr="006A2166">
        <w:rPr>
          <w:rFonts w:ascii="Times New Roman" w:hAnsi="Times New Roman" w:cs="Times New Roman"/>
          <w:i/>
          <w:color w:val="000000" w:themeColor="text1"/>
        </w:rPr>
        <w:t xml:space="preserve"> </w:t>
      </w:r>
      <w:r w:rsidR="00084365" w:rsidRPr="006A2166">
        <w:rPr>
          <w:rFonts w:ascii="Times New Roman" w:hAnsi="Times New Roman" w:cs="Times New Roman"/>
          <w:color w:val="000000" w:themeColor="text1"/>
        </w:rPr>
        <w:t xml:space="preserve">Dentro de las normas de derecho internacional </w:t>
      </w:r>
      <w:r w:rsidR="00084365" w:rsidRPr="006A2166">
        <w:rPr>
          <w:rFonts w:ascii="Times New Roman" w:hAnsi="Times New Roman" w:cs="Times New Roman"/>
          <w:color w:val="000000" w:themeColor="text1"/>
        </w:rPr>
        <w:lastRenderedPageBreak/>
        <w:t>esta el Convenio 169 OIT</w:t>
      </w:r>
      <w:r w:rsidR="0023088B" w:rsidRPr="006A2166">
        <w:rPr>
          <w:rFonts w:ascii="Times New Roman" w:hAnsi="Times New Roman" w:cs="Times New Roman"/>
          <w:color w:val="000000" w:themeColor="text1"/>
        </w:rPr>
        <w:t xml:space="preserve"> desde el artículo 13 al 19</w:t>
      </w:r>
      <w:r w:rsidR="0023088B" w:rsidRPr="006A2166">
        <w:rPr>
          <w:rStyle w:val="Refdenotaalpie"/>
          <w:rFonts w:ascii="Times New Roman" w:hAnsi="Times New Roman" w:cs="Times New Roman"/>
          <w:color w:val="000000" w:themeColor="text1"/>
        </w:rPr>
        <w:footnoteReference w:id="8"/>
      </w:r>
      <w:r w:rsidR="00EB3D13" w:rsidRPr="006A2166">
        <w:rPr>
          <w:rFonts w:ascii="Times New Roman" w:hAnsi="Times New Roman" w:cs="Times New Roman"/>
          <w:color w:val="000000" w:themeColor="text1"/>
        </w:rPr>
        <w:t xml:space="preserve">, </w:t>
      </w:r>
      <w:r w:rsidR="00EB3D13" w:rsidRPr="006A2166">
        <w:rPr>
          <w:rFonts w:ascii="Times New Roman" w:hAnsi="Times New Roman" w:cs="Times New Roman"/>
          <w:color w:val="000000" w:themeColor="text1"/>
          <w:lang w:val="es-ES"/>
        </w:rPr>
        <w:t xml:space="preserve">la Declaración de las Naciones Unidas sobre los Derechos de los Pueblos Indígenas </w:t>
      </w:r>
      <w:r w:rsidR="00EB3D13" w:rsidRPr="006A2166">
        <w:rPr>
          <w:rFonts w:ascii="Times New Roman" w:hAnsi="Times New Roman" w:cs="Times New Roman"/>
          <w:color w:val="000000" w:themeColor="text1"/>
        </w:rPr>
        <w:t>2007</w:t>
      </w:r>
      <w:r w:rsidR="009301D8" w:rsidRPr="006A2166">
        <w:rPr>
          <w:rFonts w:ascii="Times New Roman" w:hAnsi="Times New Roman" w:cs="Times New Roman"/>
          <w:color w:val="000000" w:themeColor="text1"/>
        </w:rPr>
        <w:t xml:space="preserve"> artículo 10 y desde el artículo 26 al 29</w:t>
      </w:r>
      <w:r w:rsidR="00EB3D13" w:rsidRPr="006A2166">
        <w:rPr>
          <w:rFonts w:ascii="Times New Roman" w:hAnsi="Times New Roman" w:cs="Times New Roman"/>
          <w:color w:val="000000" w:themeColor="text1"/>
        </w:rPr>
        <w:t>.</w:t>
      </w:r>
    </w:p>
    <w:p w14:paraId="7D7A9369" w14:textId="6DD81F0E" w:rsidR="00C32FEE" w:rsidRPr="006A2166" w:rsidRDefault="00261988" w:rsidP="0025217E">
      <w:pPr>
        <w:spacing w:line="276" w:lineRule="auto"/>
        <w:jc w:val="both"/>
        <w:rPr>
          <w:rFonts w:ascii="Times New Roman" w:eastAsia="Times New Roman" w:hAnsi="Times New Roman" w:cs="Times New Roman"/>
          <w:color w:val="000000" w:themeColor="text1"/>
          <w:shd w:val="clear" w:color="auto" w:fill="FFFFFF"/>
          <w:lang w:val="es-EC"/>
        </w:rPr>
      </w:pPr>
      <w:r w:rsidRPr="006A2166">
        <w:rPr>
          <w:rFonts w:ascii="Times New Roman" w:hAnsi="Times New Roman" w:cs="Times New Roman"/>
          <w:color w:val="000000" w:themeColor="text1"/>
        </w:rPr>
        <w:t xml:space="preserve">     </w:t>
      </w:r>
      <w:r w:rsidR="00113249" w:rsidRPr="006A2166">
        <w:rPr>
          <w:rFonts w:ascii="Times New Roman" w:hAnsi="Times New Roman" w:cs="Times New Roman"/>
          <w:color w:val="000000" w:themeColor="text1"/>
        </w:rPr>
        <w:t>En este mismo sentido</w:t>
      </w:r>
      <w:r w:rsidR="00517375" w:rsidRPr="006A2166">
        <w:rPr>
          <w:rFonts w:ascii="Times New Roman" w:hAnsi="Times New Roman" w:cs="Times New Roman"/>
          <w:color w:val="000000" w:themeColor="text1"/>
        </w:rPr>
        <w:t xml:space="preserve">, la </w:t>
      </w:r>
      <w:r w:rsidR="00517375" w:rsidRPr="006A2166">
        <w:rPr>
          <w:rFonts w:ascii="Times New Roman" w:eastAsia="Times New Roman" w:hAnsi="Times New Roman" w:cs="Times New Roman"/>
          <w:color w:val="000000" w:themeColor="text1"/>
          <w:shd w:val="clear" w:color="auto" w:fill="FFFFFF"/>
          <w:lang w:val="es-EC"/>
        </w:rPr>
        <w:t>Corte Interamericana de Derechos Humanos (CIDH) también se ha pronunciado sobre el territorio</w:t>
      </w:r>
      <w:r w:rsidR="00C32FEE" w:rsidRPr="006A2166">
        <w:rPr>
          <w:rFonts w:ascii="Times New Roman" w:eastAsia="Times New Roman" w:hAnsi="Times New Roman" w:cs="Times New Roman"/>
          <w:color w:val="000000" w:themeColor="text1"/>
          <w:shd w:val="clear" w:color="auto" w:fill="FFFFFF"/>
          <w:lang w:val="es-EC"/>
        </w:rPr>
        <w:t xml:space="preserve"> de los pueblos indígenas</w:t>
      </w:r>
      <w:r w:rsidR="00230877" w:rsidRPr="006A2166">
        <w:rPr>
          <w:rFonts w:ascii="Times New Roman" w:eastAsia="Times New Roman" w:hAnsi="Times New Roman" w:cs="Times New Roman"/>
          <w:color w:val="000000" w:themeColor="text1"/>
          <w:shd w:val="clear" w:color="auto" w:fill="FFFFFF"/>
          <w:lang w:val="es-EC"/>
        </w:rPr>
        <w:t xml:space="preserve"> y que comprende el mismo</w:t>
      </w:r>
      <w:r w:rsidR="00517375" w:rsidRPr="006A2166">
        <w:rPr>
          <w:rFonts w:ascii="Times New Roman" w:eastAsia="Times New Roman" w:hAnsi="Times New Roman" w:cs="Times New Roman"/>
          <w:color w:val="000000" w:themeColor="text1"/>
          <w:shd w:val="clear" w:color="auto" w:fill="FFFFFF"/>
          <w:lang w:val="es-EC"/>
        </w:rPr>
        <w:t>:</w:t>
      </w:r>
    </w:p>
    <w:p w14:paraId="6B20E93F" w14:textId="0EA95ECC" w:rsidR="00C32FEE" w:rsidRPr="006A2166" w:rsidRDefault="00C32FEE" w:rsidP="0025217E">
      <w:pPr>
        <w:pStyle w:val="NormalWeb"/>
        <w:spacing w:line="276" w:lineRule="auto"/>
        <w:jc w:val="both"/>
        <w:rPr>
          <w:rFonts w:ascii="Times New Roman" w:hAnsi="Times New Roman"/>
          <w:color w:val="000000" w:themeColor="text1"/>
          <w:sz w:val="24"/>
          <w:szCs w:val="24"/>
        </w:rPr>
      </w:pPr>
      <w:r w:rsidRPr="006A2166">
        <w:rPr>
          <w:rFonts w:ascii="Times New Roman" w:eastAsia="Times New Roman" w:hAnsi="Times New Roman"/>
          <w:color w:val="000000" w:themeColor="text1"/>
          <w:sz w:val="24"/>
          <w:szCs w:val="24"/>
          <w:shd w:val="clear" w:color="auto" w:fill="FFFFFF"/>
        </w:rPr>
        <w:t xml:space="preserve">     </w:t>
      </w:r>
      <w:r w:rsidR="00113249" w:rsidRPr="006A2166">
        <w:rPr>
          <w:rFonts w:ascii="Times New Roman" w:eastAsia="Times New Roman" w:hAnsi="Times New Roman"/>
          <w:color w:val="000000" w:themeColor="text1"/>
          <w:sz w:val="24"/>
          <w:szCs w:val="24"/>
          <w:shd w:val="clear" w:color="auto" w:fill="FFFFFF"/>
        </w:rPr>
        <w:t>Así, e</w:t>
      </w:r>
      <w:r w:rsidRPr="006A2166">
        <w:rPr>
          <w:rFonts w:ascii="Times New Roman" w:eastAsia="Times New Roman" w:hAnsi="Times New Roman"/>
          <w:color w:val="000000" w:themeColor="text1"/>
          <w:sz w:val="24"/>
          <w:szCs w:val="24"/>
          <w:shd w:val="clear" w:color="auto" w:fill="FFFFFF"/>
        </w:rPr>
        <w:t xml:space="preserve">n el </w:t>
      </w:r>
      <w:r w:rsidR="00517375" w:rsidRPr="006A2166">
        <w:rPr>
          <w:rFonts w:ascii="Times New Roman" w:hAnsi="Times New Roman"/>
          <w:color w:val="000000" w:themeColor="text1"/>
          <w:sz w:val="24"/>
          <w:szCs w:val="24"/>
        </w:rPr>
        <w:t>el caso Awa</w:t>
      </w:r>
      <w:r w:rsidRPr="006A2166">
        <w:rPr>
          <w:rFonts w:ascii="Times New Roman" w:hAnsi="Times New Roman"/>
          <w:color w:val="000000" w:themeColor="text1"/>
          <w:sz w:val="24"/>
          <w:szCs w:val="24"/>
        </w:rPr>
        <w:t>s Ting</w:t>
      </w:r>
      <w:r w:rsidR="00113249" w:rsidRPr="006A2166">
        <w:rPr>
          <w:rFonts w:ascii="Times New Roman" w:hAnsi="Times New Roman"/>
          <w:color w:val="000000" w:themeColor="text1"/>
          <w:sz w:val="24"/>
          <w:szCs w:val="24"/>
        </w:rPr>
        <w:t>ni vs Nicaragua, la Corte obligó</w:t>
      </w:r>
      <w:r w:rsidRPr="006A2166">
        <w:rPr>
          <w:rFonts w:ascii="Times New Roman" w:hAnsi="Times New Roman"/>
          <w:color w:val="000000" w:themeColor="text1"/>
          <w:sz w:val="24"/>
          <w:szCs w:val="24"/>
        </w:rPr>
        <w:t xml:space="preserve"> a los Estados a entregar títulos de propiedad a las comunidades y la importancia de delimitar su territorio como una forma de materializar el derecho d</w:t>
      </w:r>
      <w:r w:rsidR="00113249" w:rsidRPr="006A2166">
        <w:rPr>
          <w:rFonts w:ascii="Times New Roman" w:hAnsi="Times New Roman"/>
          <w:color w:val="000000" w:themeColor="text1"/>
          <w:sz w:val="24"/>
          <w:szCs w:val="24"/>
        </w:rPr>
        <w:t xml:space="preserve">e los pueblos a sus territorios, enfatizando </w:t>
      </w:r>
      <w:r w:rsidR="0023088B" w:rsidRPr="006A2166">
        <w:rPr>
          <w:rFonts w:ascii="Times New Roman" w:hAnsi="Times New Roman"/>
          <w:color w:val="000000" w:themeColor="text1"/>
          <w:sz w:val="24"/>
          <w:szCs w:val="24"/>
        </w:rPr>
        <w:t xml:space="preserve">que </w:t>
      </w:r>
      <w:r w:rsidRPr="006A2166">
        <w:rPr>
          <w:rFonts w:ascii="Times New Roman" w:hAnsi="Times New Roman"/>
          <w:color w:val="000000" w:themeColor="text1"/>
          <w:sz w:val="24"/>
          <w:szCs w:val="24"/>
        </w:rPr>
        <w:t xml:space="preserve">“ la posesión de la tierra debería bastar para que las comunidades indígenas que carezcan de un título real sobre la propiedad de la tierra obtengan el reconocimiento oficial de dicha propiedad y el consiguiente registro” </w:t>
      </w:r>
      <w:r w:rsidR="00C72EA2" w:rsidRPr="006A2166">
        <w:rPr>
          <w:rFonts w:ascii="Times New Roman" w:hAnsi="Times New Roman"/>
          <w:color w:val="000000" w:themeColor="text1"/>
          <w:sz w:val="24"/>
          <w:szCs w:val="24"/>
        </w:rPr>
        <w:t>(CIDH, 2001,</w:t>
      </w:r>
      <w:r w:rsidR="00517375" w:rsidRPr="006A2166">
        <w:rPr>
          <w:rFonts w:ascii="Times New Roman" w:hAnsi="Times New Roman"/>
          <w:color w:val="000000" w:themeColor="text1"/>
          <w:sz w:val="24"/>
          <w:szCs w:val="24"/>
        </w:rPr>
        <w:t xml:space="preserve"> párra 151)</w:t>
      </w:r>
      <w:r w:rsidRPr="006A2166">
        <w:rPr>
          <w:rFonts w:ascii="Times New Roman" w:hAnsi="Times New Roman"/>
          <w:color w:val="000000" w:themeColor="text1"/>
          <w:sz w:val="24"/>
          <w:szCs w:val="24"/>
        </w:rPr>
        <w:t>.</w:t>
      </w:r>
    </w:p>
    <w:p w14:paraId="02B864A4" w14:textId="4835E1AC" w:rsidR="00517375" w:rsidRPr="006A2166" w:rsidRDefault="00665BAC" w:rsidP="0025217E">
      <w:pPr>
        <w:pStyle w:val="NormalWeb"/>
        <w:spacing w:line="276" w:lineRule="auto"/>
        <w:jc w:val="both"/>
        <w:rPr>
          <w:rFonts w:ascii="Times New Roman" w:hAnsi="Times New Roman"/>
          <w:color w:val="000000" w:themeColor="text1"/>
          <w:sz w:val="24"/>
          <w:szCs w:val="24"/>
        </w:rPr>
      </w:pPr>
      <w:r w:rsidRPr="006A2166">
        <w:rPr>
          <w:rFonts w:ascii="Times New Roman" w:hAnsi="Times New Roman"/>
          <w:color w:val="000000" w:themeColor="text1"/>
          <w:sz w:val="24"/>
          <w:szCs w:val="24"/>
        </w:rPr>
        <w:t xml:space="preserve">     </w:t>
      </w:r>
      <w:r w:rsidR="00C32FEE" w:rsidRPr="006A2166">
        <w:rPr>
          <w:rFonts w:ascii="Times New Roman" w:hAnsi="Times New Roman"/>
          <w:color w:val="000000" w:themeColor="text1"/>
          <w:sz w:val="24"/>
          <w:szCs w:val="24"/>
        </w:rPr>
        <w:t>Finalmente</w:t>
      </w:r>
      <w:r w:rsidR="009A3647" w:rsidRPr="006A2166">
        <w:rPr>
          <w:rFonts w:ascii="Times New Roman" w:hAnsi="Times New Roman"/>
          <w:color w:val="000000" w:themeColor="text1"/>
          <w:sz w:val="24"/>
          <w:szCs w:val="24"/>
        </w:rPr>
        <w:t>,</w:t>
      </w:r>
      <w:r w:rsidR="00C32FEE" w:rsidRPr="006A2166">
        <w:rPr>
          <w:rFonts w:ascii="Times New Roman" w:hAnsi="Times New Roman"/>
          <w:color w:val="000000" w:themeColor="text1"/>
          <w:sz w:val="24"/>
          <w:szCs w:val="24"/>
        </w:rPr>
        <w:t xml:space="preserve"> en el</w:t>
      </w:r>
      <w:r w:rsidR="00517375" w:rsidRPr="006A2166">
        <w:rPr>
          <w:rFonts w:ascii="Times New Roman" w:hAnsi="Times New Roman"/>
          <w:color w:val="000000" w:themeColor="text1"/>
          <w:sz w:val="24"/>
          <w:szCs w:val="24"/>
        </w:rPr>
        <w:t xml:space="preserve"> caso de la comunidad Indígena Sawhoyamaxa vs Paraguay, la Corte sostiene la estrecha vinculación de los pueblos </w:t>
      </w:r>
      <w:r w:rsidR="002F7066" w:rsidRPr="006A2166">
        <w:rPr>
          <w:rFonts w:ascii="Times New Roman" w:hAnsi="Times New Roman"/>
          <w:color w:val="000000" w:themeColor="text1"/>
          <w:sz w:val="24"/>
          <w:szCs w:val="24"/>
        </w:rPr>
        <w:t>indí</w:t>
      </w:r>
      <w:r w:rsidR="00517375" w:rsidRPr="006A2166">
        <w:rPr>
          <w:rFonts w:ascii="Times New Roman" w:hAnsi="Times New Roman"/>
          <w:color w:val="000000" w:themeColor="text1"/>
          <w:sz w:val="24"/>
          <w:szCs w:val="24"/>
        </w:rPr>
        <w:t xml:space="preserve">genas con sus tierras tradicionales y los recursos </w:t>
      </w:r>
      <w:r w:rsidR="00C72EA2" w:rsidRPr="006A2166">
        <w:rPr>
          <w:rFonts w:ascii="Times New Roman" w:hAnsi="Times New Roman"/>
          <w:color w:val="000000" w:themeColor="text1"/>
          <w:sz w:val="24"/>
          <w:szCs w:val="24"/>
        </w:rPr>
        <w:t xml:space="preserve">ligados a su cultura (CIDH, 2006, </w:t>
      </w:r>
      <w:r w:rsidR="00517375" w:rsidRPr="006A2166">
        <w:rPr>
          <w:rFonts w:ascii="Times New Roman" w:hAnsi="Times New Roman"/>
          <w:color w:val="000000" w:themeColor="text1"/>
          <w:sz w:val="24"/>
          <w:szCs w:val="24"/>
        </w:rPr>
        <w:t xml:space="preserve">párr. 118), </w:t>
      </w:r>
      <w:r w:rsidR="00C32FEE" w:rsidRPr="006A2166">
        <w:rPr>
          <w:rFonts w:ascii="Times New Roman" w:hAnsi="Times New Roman"/>
          <w:color w:val="000000" w:themeColor="text1"/>
          <w:sz w:val="24"/>
          <w:szCs w:val="24"/>
        </w:rPr>
        <w:t xml:space="preserve">y </w:t>
      </w:r>
      <w:r w:rsidR="00517375" w:rsidRPr="006A2166">
        <w:rPr>
          <w:rFonts w:ascii="Times New Roman" w:hAnsi="Times New Roman"/>
          <w:color w:val="000000" w:themeColor="text1"/>
          <w:sz w:val="24"/>
          <w:szCs w:val="24"/>
        </w:rPr>
        <w:t xml:space="preserve">en el caso Pueblo Saramaka </w:t>
      </w:r>
      <w:r w:rsidR="00C72EA2" w:rsidRPr="006A2166">
        <w:rPr>
          <w:rFonts w:ascii="Times New Roman" w:hAnsi="Times New Roman"/>
          <w:color w:val="000000" w:themeColor="text1"/>
          <w:sz w:val="24"/>
          <w:szCs w:val="24"/>
        </w:rPr>
        <w:t xml:space="preserve">vs Surinam (CIDH, 2007, </w:t>
      </w:r>
      <w:r w:rsidR="00517375" w:rsidRPr="006A2166">
        <w:rPr>
          <w:rFonts w:ascii="Times New Roman" w:hAnsi="Times New Roman"/>
          <w:color w:val="000000" w:themeColor="text1"/>
          <w:sz w:val="24"/>
          <w:szCs w:val="24"/>
        </w:rPr>
        <w:t xml:space="preserve">120) </w:t>
      </w:r>
      <w:r w:rsidR="00C32FEE" w:rsidRPr="006A2166">
        <w:rPr>
          <w:rFonts w:ascii="Times New Roman" w:hAnsi="Times New Roman"/>
          <w:color w:val="000000" w:themeColor="text1"/>
          <w:sz w:val="24"/>
          <w:szCs w:val="24"/>
        </w:rPr>
        <w:t xml:space="preserve">establece que el </w:t>
      </w:r>
      <w:r w:rsidR="00517375" w:rsidRPr="006A2166">
        <w:rPr>
          <w:rFonts w:ascii="Times New Roman" w:hAnsi="Times New Roman"/>
          <w:color w:val="000000" w:themeColor="text1"/>
          <w:sz w:val="24"/>
          <w:szCs w:val="24"/>
        </w:rPr>
        <w:t>territorio debe ser entendido la tierra como los recursos naturales que se encuentran en los mismos.</w:t>
      </w:r>
    </w:p>
    <w:p w14:paraId="44B0F03B" w14:textId="21B6489E" w:rsidR="0024301D" w:rsidRPr="006A2166" w:rsidRDefault="00230877" w:rsidP="0025217E">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w:t>
      </w:r>
      <w:r w:rsidR="0024301D" w:rsidRPr="006A2166">
        <w:rPr>
          <w:rFonts w:ascii="Times New Roman" w:hAnsi="Times New Roman" w:cs="Times New Roman"/>
          <w:color w:val="000000" w:themeColor="text1"/>
        </w:rPr>
        <w:t xml:space="preserve">Sin embargo, la Constitución ecuatoriana establece que los recursos naturales no renovables son sectores estratégicos y la gestión de los mismos le corresponde al Gobierno Central, en Ecuador las comunidades terminan siendo dueños de la tierra pero no de los yacimientos que se </w:t>
      </w:r>
      <w:r w:rsidR="00A455A1" w:rsidRPr="006A2166">
        <w:rPr>
          <w:rFonts w:ascii="Times New Roman" w:hAnsi="Times New Roman" w:cs="Times New Roman"/>
          <w:color w:val="000000" w:themeColor="text1"/>
        </w:rPr>
        <w:t>encuentran</w:t>
      </w:r>
      <w:r w:rsidR="0024301D" w:rsidRPr="006A2166">
        <w:rPr>
          <w:rFonts w:ascii="Times New Roman" w:hAnsi="Times New Roman" w:cs="Times New Roman"/>
          <w:color w:val="000000" w:themeColor="text1"/>
        </w:rPr>
        <w:t xml:space="preserve"> en su subsuelo, de ello que, el numeral 6 del artículo 57 establece </w:t>
      </w:r>
      <w:r w:rsidRPr="006A2166">
        <w:rPr>
          <w:rFonts w:ascii="Times New Roman" w:hAnsi="Times New Roman" w:cs="Times New Roman"/>
          <w:color w:val="000000" w:themeColor="text1"/>
        </w:rPr>
        <w:t xml:space="preserve">únicamente </w:t>
      </w:r>
      <w:r w:rsidR="0024301D" w:rsidRPr="006A2166">
        <w:rPr>
          <w:rFonts w:ascii="Times New Roman" w:hAnsi="Times New Roman" w:cs="Times New Roman"/>
          <w:color w:val="000000" w:themeColor="text1"/>
        </w:rPr>
        <w:t xml:space="preserve">“el derechos a participar del uso, usufructo, administración y conservación de los recursos naturales renovables que se hallen en sus tierras” </w:t>
      </w:r>
      <w:r w:rsidR="00C72EA2" w:rsidRPr="006A2166">
        <w:rPr>
          <w:rFonts w:ascii="Times New Roman" w:hAnsi="Times New Roman" w:cs="Times New Roman"/>
          <w:color w:val="000000" w:themeColor="text1"/>
        </w:rPr>
        <w:t xml:space="preserve">(2008, p. 16). </w:t>
      </w:r>
      <w:r w:rsidR="00261988" w:rsidRPr="006A2166">
        <w:rPr>
          <w:rFonts w:ascii="Times New Roman" w:hAnsi="Times New Roman" w:cs="Times New Roman"/>
          <w:color w:val="000000" w:themeColor="text1"/>
        </w:rPr>
        <w:t>Esta dicotomía si los recursos o yacimientos pertenecen a los pueblos o a los Estados fue uno de los debates principales sobre el Convenio 169 (Swepson</w:t>
      </w:r>
      <w:r w:rsidR="00A455A1" w:rsidRPr="006A2166">
        <w:rPr>
          <w:rFonts w:ascii="Times New Roman" w:hAnsi="Times New Roman" w:cs="Times New Roman"/>
          <w:color w:val="000000" w:themeColor="text1"/>
        </w:rPr>
        <w:t>,</w:t>
      </w:r>
      <w:r w:rsidR="00261988" w:rsidRPr="006A2166">
        <w:rPr>
          <w:rFonts w:ascii="Times New Roman" w:hAnsi="Times New Roman" w:cs="Times New Roman"/>
          <w:color w:val="000000" w:themeColor="text1"/>
        </w:rPr>
        <w:t xml:space="preserve"> 1990, p. 231), quedando como mecanismo de consenso la consulta previa al momento de afectar a territorios de pueblos y nacionalidades indígenas, que tiene relación con la segunda parte del presente trabajo. </w:t>
      </w:r>
    </w:p>
    <w:p w14:paraId="0286615F" w14:textId="77777777" w:rsidR="00230877" w:rsidRPr="006A2166" w:rsidRDefault="00230877" w:rsidP="0025217E">
      <w:pPr>
        <w:spacing w:line="276" w:lineRule="auto"/>
        <w:jc w:val="both"/>
        <w:rPr>
          <w:rFonts w:ascii="Times New Roman" w:hAnsi="Times New Roman" w:cs="Times New Roman"/>
          <w:color w:val="000000" w:themeColor="text1"/>
        </w:rPr>
      </w:pPr>
    </w:p>
    <w:p w14:paraId="4F3D0B6C" w14:textId="237BD531" w:rsidR="002753AD" w:rsidRPr="006A2166" w:rsidRDefault="002753AD" w:rsidP="0025217E">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w:t>
      </w:r>
      <w:r w:rsidR="00261988" w:rsidRPr="006A2166">
        <w:rPr>
          <w:rFonts w:ascii="Times New Roman" w:hAnsi="Times New Roman" w:cs="Times New Roman"/>
          <w:color w:val="000000" w:themeColor="text1"/>
        </w:rPr>
        <w:t xml:space="preserve">En todo caso, </w:t>
      </w:r>
      <w:r w:rsidR="008D1F4C" w:rsidRPr="006A2166">
        <w:rPr>
          <w:rFonts w:ascii="Times New Roman" w:hAnsi="Times New Roman" w:cs="Times New Roman"/>
          <w:color w:val="000000" w:themeColor="text1"/>
        </w:rPr>
        <w:t>l</w:t>
      </w:r>
      <w:r w:rsidR="00230877" w:rsidRPr="006A2166">
        <w:rPr>
          <w:rFonts w:ascii="Times New Roman" w:hAnsi="Times New Roman" w:cs="Times New Roman"/>
          <w:color w:val="000000" w:themeColor="text1"/>
        </w:rPr>
        <w:t xml:space="preserve">a Corte constitucional en las pretensiones realizadas </w:t>
      </w:r>
      <w:r w:rsidRPr="006A2166">
        <w:rPr>
          <w:rFonts w:ascii="Times New Roman" w:hAnsi="Times New Roman" w:cs="Times New Roman"/>
          <w:color w:val="000000" w:themeColor="text1"/>
        </w:rPr>
        <w:t xml:space="preserve">emite </w:t>
      </w:r>
      <w:r w:rsidR="00C72EA2" w:rsidRPr="006A2166">
        <w:rPr>
          <w:rFonts w:ascii="Times New Roman" w:hAnsi="Times New Roman" w:cs="Times New Roman"/>
          <w:color w:val="000000" w:themeColor="text1"/>
        </w:rPr>
        <w:t>una sentencia interpretativa estableciendo</w:t>
      </w:r>
      <w:r w:rsidRPr="006A2166">
        <w:rPr>
          <w:rFonts w:ascii="Times New Roman" w:hAnsi="Times New Roman" w:cs="Times New Roman"/>
          <w:color w:val="000000" w:themeColor="text1"/>
        </w:rPr>
        <w:t xml:space="preserve"> la constitucionalidad condicionada de los artículos 15, 28, 31 </w:t>
      </w:r>
      <w:r w:rsidR="00A455A1" w:rsidRPr="006A2166">
        <w:rPr>
          <w:rFonts w:ascii="Times New Roman" w:hAnsi="Times New Roman" w:cs="Times New Roman"/>
          <w:color w:val="000000" w:themeColor="text1"/>
        </w:rPr>
        <w:t>inc.</w:t>
      </w:r>
      <w:r w:rsidRPr="006A2166">
        <w:rPr>
          <w:rFonts w:ascii="Times New Roman" w:hAnsi="Times New Roman" w:cs="Times New Roman"/>
          <w:color w:val="000000" w:themeColor="text1"/>
        </w:rPr>
        <w:t xml:space="preserve"> 2, 59, 87, 88, 90, 100, 101, 102, 103, 104 y 105 de la Ley de Mine</w:t>
      </w:r>
      <w:r w:rsidR="00C72EA2" w:rsidRPr="006A2166">
        <w:rPr>
          <w:rFonts w:ascii="Times New Roman" w:hAnsi="Times New Roman" w:cs="Times New Roman"/>
          <w:color w:val="000000" w:themeColor="text1"/>
        </w:rPr>
        <w:t>ría, que regulaban</w:t>
      </w:r>
      <w:r w:rsidRPr="006A2166">
        <w:rPr>
          <w:rFonts w:ascii="Times New Roman" w:hAnsi="Times New Roman" w:cs="Times New Roman"/>
          <w:color w:val="000000" w:themeColor="text1"/>
        </w:rPr>
        <w:t xml:space="preserve"> </w:t>
      </w:r>
      <w:r w:rsidR="00C72EA2" w:rsidRPr="006A2166">
        <w:rPr>
          <w:rFonts w:ascii="Times New Roman" w:hAnsi="Times New Roman" w:cs="Times New Roman"/>
          <w:color w:val="000000" w:themeColor="text1"/>
        </w:rPr>
        <w:t>l</w:t>
      </w:r>
      <w:r w:rsidRPr="006A2166">
        <w:rPr>
          <w:rFonts w:ascii="Times New Roman" w:hAnsi="Times New Roman" w:cs="Times New Roman"/>
          <w:color w:val="000000" w:themeColor="text1"/>
        </w:rPr>
        <w:t>a</w:t>
      </w:r>
      <w:r w:rsidR="00C72EA2" w:rsidRPr="006A2166">
        <w:rPr>
          <w:rFonts w:ascii="Times New Roman" w:hAnsi="Times New Roman" w:cs="Times New Roman"/>
          <w:color w:val="000000" w:themeColor="text1"/>
        </w:rPr>
        <w:t xml:space="preserve"> declaratoria de</w:t>
      </w:r>
      <w:r w:rsidRPr="006A2166">
        <w:rPr>
          <w:rFonts w:ascii="Times New Roman" w:hAnsi="Times New Roman" w:cs="Times New Roman"/>
          <w:color w:val="000000" w:themeColor="text1"/>
        </w:rPr>
        <w:t xml:space="preserve"> utilidad pública, servidumbres, libertad de prospección, otorgamiento de concesiones mineras, construcciones e instalaciones complementarias, donde establece que estas normas son válidas siempre que no se apliquen a los territorios de las comunidades, pueblos y nacionalidades indígenas, </w:t>
      </w:r>
      <w:r w:rsidR="00A455A1" w:rsidRPr="006A2166">
        <w:rPr>
          <w:rFonts w:ascii="Times New Roman" w:hAnsi="Times New Roman" w:cs="Times New Roman"/>
          <w:color w:val="000000" w:themeColor="text1"/>
        </w:rPr>
        <w:t>afro ecuatorianas</w:t>
      </w:r>
      <w:r w:rsidRPr="006A2166">
        <w:rPr>
          <w:rFonts w:ascii="Times New Roman" w:hAnsi="Times New Roman" w:cs="Times New Roman"/>
          <w:color w:val="000000" w:themeColor="text1"/>
        </w:rPr>
        <w:t xml:space="preserve"> y montubia</w:t>
      </w:r>
      <w:r w:rsidR="008D1F4C" w:rsidRPr="006A2166">
        <w:rPr>
          <w:rFonts w:ascii="Times New Roman" w:hAnsi="Times New Roman" w:cs="Times New Roman"/>
          <w:color w:val="000000" w:themeColor="text1"/>
        </w:rPr>
        <w:t xml:space="preserve">s y </w:t>
      </w:r>
      <w:r w:rsidR="008D1F4C" w:rsidRPr="006A2166">
        <w:rPr>
          <w:rFonts w:ascii="Times New Roman" w:hAnsi="Times New Roman" w:cs="Times New Roman"/>
          <w:color w:val="000000" w:themeColor="text1"/>
        </w:rPr>
        <w:lastRenderedPageBreak/>
        <w:t>afirma la obligatoriedad de que toda actividad minera deberá</w:t>
      </w:r>
      <w:r w:rsidRPr="006A2166">
        <w:rPr>
          <w:rFonts w:ascii="Times New Roman" w:hAnsi="Times New Roman" w:cs="Times New Roman"/>
          <w:color w:val="000000" w:themeColor="text1"/>
        </w:rPr>
        <w:t xml:space="preserve"> someterse a consu</w:t>
      </w:r>
      <w:r w:rsidR="008D1F4C" w:rsidRPr="006A2166">
        <w:rPr>
          <w:rFonts w:ascii="Times New Roman" w:hAnsi="Times New Roman" w:cs="Times New Roman"/>
          <w:color w:val="000000" w:themeColor="text1"/>
        </w:rPr>
        <w:t>lta previa en estos territorio.</w:t>
      </w:r>
    </w:p>
    <w:p w14:paraId="75C10293" w14:textId="77777777" w:rsidR="008D1F4C" w:rsidRPr="006A2166" w:rsidRDefault="008D1F4C" w:rsidP="0025217E">
      <w:pPr>
        <w:spacing w:line="276" w:lineRule="auto"/>
        <w:jc w:val="both"/>
        <w:rPr>
          <w:rFonts w:ascii="Times New Roman" w:hAnsi="Times New Roman" w:cs="Times New Roman"/>
          <w:color w:val="000000" w:themeColor="text1"/>
        </w:rPr>
      </w:pPr>
    </w:p>
    <w:p w14:paraId="76F9A8D6" w14:textId="1E9B089D" w:rsidR="00517375" w:rsidRPr="006A2166" w:rsidRDefault="008D1F4C" w:rsidP="0025217E">
      <w:pPr>
        <w:widowControl w:val="0"/>
        <w:tabs>
          <w:tab w:val="left" w:pos="220"/>
          <w:tab w:val="left" w:pos="720"/>
        </w:tabs>
        <w:autoSpaceDE w:val="0"/>
        <w:autoSpaceDN w:val="0"/>
        <w:adjustRightInd w:val="0"/>
        <w:spacing w:after="320" w:line="276" w:lineRule="auto"/>
        <w:jc w:val="both"/>
        <w:rPr>
          <w:rFonts w:ascii="Times New Roman" w:hAnsi="Times New Roman" w:cs="Times New Roman"/>
          <w:color w:val="000000" w:themeColor="text1"/>
          <w:lang w:val="es-ES"/>
        </w:rPr>
      </w:pPr>
      <w:r w:rsidRPr="006A2166">
        <w:rPr>
          <w:rFonts w:ascii="Times New Roman" w:hAnsi="Times New Roman" w:cs="Times New Roman"/>
          <w:color w:val="000000" w:themeColor="text1"/>
        </w:rPr>
        <w:t xml:space="preserve">     En consecuencia, la Corte Constitucional en concordancia con las normas de derecho internacional y de derecho interno garantizó los territorios de pueblos y nacionalidades indígenas </w:t>
      </w:r>
      <w:r w:rsidR="00A455A1" w:rsidRPr="006A2166">
        <w:rPr>
          <w:rFonts w:ascii="Times New Roman" w:hAnsi="Times New Roman" w:cs="Times New Roman"/>
          <w:color w:val="000000" w:themeColor="text1"/>
        </w:rPr>
        <w:t>estableciendo</w:t>
      </w:r>
      <w:r w:rsidRPr="006A2166">
        <w:rPr>
          <w:rFonts w:ascii="Times New Roman" w:hAnsi="Times New Roman" w:cs="Times New Roman"/>
          <w:color w:val="000000" w:themeColor="text1"/>
        </w:rPr>
        <w:t xml:space="preserve"> un tratamiento diferenciado de sus territorios y como medio para utilizar los recursos que existen en el mismo la consulta previa </w:t>
      </w:r>
      <w:r w:rsidRPr="006A2166">
        <w:rPr>
          <w:rFonts w:ascii="Times New Roman" w:hAnsi="Times New Roman" w:cs="Times New Roman"/>
          <w:color w:val="000000" w:themeColor="text1"/>
          <w:lang w:val="es-ES"/>
        </w:rPr>
        <w:t>sobre planes y programas de prospección, explotación y comercialización de recursos no renovables que se encuentren en sus tierras y que puedan afectarles ambiental o culturalmente; además la posibilidad de participar en los beneficios que esos proyectos reporten y recibir indemnizaciones por los perjuicios sociales, culturales y ambientales que les causen</w:t>
      </w:r>
      <w:r w:rsidR="00665BAC" w:rsidRPr="006A2166">
        <w:rPr>
          <w:rFonts w:ascii="Times New Roman" w:hAnsi="Times New Roman" w:cs="Times New Roman"/>
          <w:color w:val="000000" w:themeColor="text1"/>
          <w:lang w:val="es-ES"/>
        </w:rPr>
        <w:t>, en concordancia con el artículo 57 numeral</w:t>
      </w:r>
      <w:r w:rsidRPr="006A2166">
        <w:rPr>
          <w:rFonts w:ascii="Times New Roman" w:hAnsi="Times New Roman" w:cs="Times New Roman"/>
          <w:color w:val="000000" w:themeColor="text1"/>
          <w:lang w:val="es-ES"/>
        </w:rPr>
        <w:t xml:space="preserve"> 8 de la Constitución.  </w:t>
      </w:r>
      <w:r w:rsidR="00C72EA2" w:rsidRPr="006A2166">
        <w:rPr>
          <w:rFonts w:ascii="Times New Roman" w:hAnsi="Times New Roman" w:cs="Times New Roman"/>
          <w:color w:val="000000" w:themeColor="text1"/>
          <w:lang w:val="es-ES"/>
        </w:rPr>
        <w:t>(2008, p.16)</w:t>
      </w:r>
    </w:p>
    <w:p w14:paraId="62CF21F6" w14:textId="347375C0" w:rsidR="00517375" w:rsidRPr="006A2166" w:rsidRDefault="00517375" w:rsidP="0025217E">
      <w:pPr>
        <w:spacing w:line="276" w:lineRule="auto"/>
        <w:ind w:left="360"/>
        <w:jc w:val="both"/>
        <w:rPr>
          <w:rFonts w:ascii="Times New Roman" w:hAnsi="Times New Roman" w:cs="Times New Roman"/>
          <w:b/>
          <w:color w:val="000000" w:themeColor="text1"/>
        </w:rPr>
      </w:pPr>
      <w:r w:rsidRPr="006A2166">
        <w:rPr>
          <w:rFonts w:ascii="Times New Roman" w:hAnsi="Times New Roman" w:cs="Times New Roman"/>
          <w:b/>
          <w:color w:val="000000" w:themeColor="text1"/>
        </w:rPr>
        <w:t xml:space="preserve">B) </w:t>
      </w:r>
      <w:r w:rsidR="000C632D" w:rsidRPr="006A2166">
        <w:rPr>
          <w:rFonts w:ascii="Times New Roman" w:hAnsi="Times New Roman" w:cs="Times New Roman"/>
          <w:b/>
          <w:color w:val="000000" w:themeColor="text1"/>
        </w:rPr>
        <w:t>El derecho a la c</w:t>
      </w:r>
      <w:r w:rsidRPr="006A2166">
        <w:rPr>
          <w:rFonts w:ascii="Times New Roman" w:hAnsi="Times New Roman" w:cs="Times New Roman"/>
          <w:b/>
          <w:color w:val="000000" w:themeColor="text1"/>
        </w:rPr>
        <w:t>onsulta pre-legislativa</w:t>
      </w:r>
    </w:p>
    <w:p w14:paraId="3F56D3D4" w14:textId="77777777" w:rsidR="00517375" w:rsidRPr="006A2166" w:rsidRDefault="00517375" w:rsidP="0025217E">
      <w:pPr>
        <w:spacing w:line="276" w:lineRule="auto"/>
        <w:jc w:val="both"/>
        <w:rPr>
          <w:rFonts w:ascii="Times New Roman" w:hAnsi="Times New Roman" w:cs="Times New Roman"/>
          <w:color w:val="000000" w:themeColor="text1"/>
        </w:rPr>
      </w:pPr>
    </w:p>
    <w:p w14:paraId="7BBB058A" w14:textId="171D9B0B" w:rsidR="0022051B" w:rsidRPr="006A2166" w:rsidRDefault="000C632D" w:rsidP="0025217E">
      <w:pPr>
        <w:widowControl w:val="0"/>
        <w:autoSpaceDE w:val="0"/>
        <w:autoSpaceDN w:val="0"/>
        <w:adjustRightInd w:val="0"/>
        <w:spacing w:after="240" w:line="276" w:lineRule="auto"/>
        <w:jc w:val="both"/>
        <w:rPr>
          <w:rFonts w:ascii="Times New Roman" w:hAnsi="Times New Roman" w:cs="Times New Roman"/>
          <w:color w:val="000000" w:themeColor="text1"/>
          <w:lang w:val="es-ES"/>
        </w:rPr>
      </w:pPr>
      <w:r w:rsidRPr="006A2166">
        <w:rPr>
          <w:rFonts w:ascii="Times New Roman" w:hAnsi="Times New Roman" w:cs="Times New Roman"/>
          <w:color w:val="000000" w:themeColor="text1"/>
          <w:lang w:val="es-ES"/>
        </w:rPr>
        <w:t xml:space="preserve">     </w:t>
      </w:r>
      <w:r w:rsidR="002753AD" w:rsidRPr="006A2166">
        <w:rPr>
          <w:rFonts w:ascii="Times New Roman" w:hAnsi="Times New Roman" w:cs="Times New Roman"/>
          <w:color w:val="000000" w:themeColor="text1"/>
          <w:lang w:val="es-ES"/>
        </w:rPr>
        <w:t xml:space="preserve">La consulta </w:t>
      </w:r>
      <w:r w:rsidR="00A455A1" w:rsidRPr="006A2166">
        <w:rPr>
          <w:rFonts w:ascii="Times New Roman" w:hAnsi="Times New Roman" w:cs="Times New Roman"/>
          <w:color w:val="000000" w:themeColor="text1"/>
          <w:lang w:val="es-ES"/>
        </w:rPr>
        <w:t>pre legislativa</w:t>
      </w:r>
      <w:r w:rsidR="002753AD" w:rsidRPr="006A2166">
        <w:rPr>
          <w:rFonts w:ascii="Times New Roman" w:hAnsi="Times New Roman" w:cs="Times New Roman"/>
          <w:color w:val="000000" w:themeColor="text1"/>
          <w:lang w:val="es-ES"/>
        </w:rPr>
        <w:t xml:space="preserve"> es un derecho colectivo que establece la obligación del Estado en el proceso de creación de una norma de consultar a comunidades, pueblos y nacionalidades indígenas cuando estas normas puedan afectar el acceso, ejercicio o goce de sus derechos colectivos.</w:t>
      </w:r>
    </w:p>
    <w:p w14:paraId="50D082EE" w14:textId="43B590EA" w:rsidR="0022051B" w:rsidRPr="006A2166" w:rsidRDefault="00A455A1" w:rsidP="0025217E">
      <w:pPr>
        <w:spacing w:line="276" w:lineRule="auto"/>
        <w:jc w:val="both"/>
        <w:rPr>
          <w:rFonts w:ascii="Times New Roman" w:hAnsi="Times New Roman" w:cs="Times New Roman"/>
          <w:color w:val="000000" w:themeColor="text1"/>
          <w:lang w:val="es-ES"/>
        </w:rPr>
      </w:pPr>
      <w:r w:rsidRPr="006A2166">
        <w:rPr>
          <w:rFonts w:ascii="Times New Roman" w:hAnsi="Times New Roman" w:cs="Times New Roman"/>
          <w:color w:val="000000" w:themeColor="text1"/>
        </w:rPr>
        <w:t xml:space="preserve">     Así, e</w:t>
      </w:r>
      <w:r w:rsidR="0022051B" w:rsidRPr="006A2166">
        <w:rPr>
          <w:rFonts w:ascii="Times New Roman" w:hAnsi="Times New Roman" w:cs="Times New Roman"/>
          <w:color w:val="000000" w:themeColor="text1"/>
        </w:rPr>
        <w:t xml:space="preserve">l Art. 57 </w:t>
      </w:r>
      <w:r w:rsidRPr="006A2166">
        <w:rPr>
          <w:rFonts w:ascii="Times New Roman" w:hAnsi="Times New Roman" w:cs="Times New Roman"/>
          <w:color w:val="000000" w:themeColor="text1"/>
        </w:rPr>
        <w:t>núm.</w:t>
      </w:r>
      <w:r w:rsidR="0022051B" w:rsidRPr="006A2166">
        <w:rPr>
          <w:rFonts w:ascii="Times New Roman" w:hAnsi="Times New Roman" w:cs="Times New Roman"/>
          <w:color w:val="000000" w:themeColor="text1"/>
        </w:rPr>
        <w:t xml:space="preserve"> 17 de la Constitución de la República del Ecuador establec</w:t>
      </w:r>
      <w:r w:rsidRPr="006A2166">
        <w:rPr>
          <w:rFonts w:ascii="Times New Roman" w:hAnsi="Times New Roman" w:cs="Times New Roman"/>
          <w:color w:val="000000" w:themeColor="text1"/>
        </w:rPr>
        <w:t>e como derecho de las comunas, comunidades</w:t>
      </w:r>
      <w:r w:rsidR="0022051B" w:rsidRPr="006A2166">
        <w:rPr>
          <w:rFonts w:ascii="Times New Roman" w:hAnsi="Times New Roman" w:cs="Times New Roman"/>
          <w:color w:val="000000" w:themeColor="text1"/>
          <w:lang w:val="es-ES"/>
        </w:rPr>
        <w:t>, pueblos y nacionalidades indígenas a ser consultados antes de la adopción de una medida legislativa que pueda afectar cualquiera d</w:t>
      </w:r>
      <w:r w:rsidR="00C72EA2" w:rsidRPr="006A2166">
        <w:rPr>
          <w:rFonts w:ascii="Times New Roman" w:hAnsi="Times New Roman" w:cs="Times New Roman"/>
          <w:color w:val="000000" w:themeColor="text1"/>
          <w:lang w:val="es-ES"/>
        </w:rPr>
        <w:t>e sus derechos colectivos (2008, p.17).</w:t>
      </w:r>
      <w:r w:rsidR="0022051B" w:rsidRPr="006A2166">
        <w:rPr>
          <w:rFonts w:ascii="Times New Roman" w:hAnsi="Times New Roman" w:cs="Times New Roman"/>
          <w:color w:val="000000" w:themeColor="text1"/>
          <w:lang w:val="es-ES"/>
        </w:rPr>
        <w:t xml:space="preserve"> Esta norma busca garantizar la participación de las comunidades en asuntos que les afecten.</w:t>
      </w:r>
    </w:p>
    <w:p w14:paraId="007EF3E4" w14:textId="77777777" w:rsidR="00665BAC" w:rsidRPr="006A2166" w:rsidRDefault="00665BAC" w:rsidP="0025217E">
      <w:pPr>
        <w:spacing w:line="276" w:lineRule="auto"/>
        <w:jc w:val="both"/>
        <w:rPr>
          <w:rFonts w:ascii="Times New Roman" w:hAnsi="Times New Roman" w:cs="Times New Roman"/>
          <w:color w:val="000000" w:themeColor="text1"/>
          <w:lang w:val="es-ES"/>
        </w:rPr>
      </w:pPr>
    </w:p>
    <w:p w14:paraId="720317F5" w14:textId="2D09BAFA" w:rsidR="0022051B" w:rsidRPr="006A2166" w:rsidRDefault="005B7FD0" w:rsidP="0025217E">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lang w:val="es-ES"/>
        </w:rPr>
        <w:t xml:space="preserve">     </w:t>
      </w:r>
      <w:r w:rsidR="00A94A83" w:rsidRPr="006A2166">
        <w:rPr>
          <w:rFonts w:ascii="Times New Roman" w:hAnsi="Times New Roman" w:cs="Times New Roman"/>
          <w:color w:val="000000" w:themeColor="text1"/>
          <w:lang w:val="es-ES"/>
        </w:rPr>
        <w:t>Sin em</w:t>
      </w:r>
      <w:r w:rsidR="00665BAC" w:rsidRPr="006A2166">
        <w:rPr>
          <w:rFonts w:ascii="Times New Roman" w:hAnsi="Times New Roman" w:cs="Times New Roman"/>
          <w:color w:val="000000" w:themeColor="text1"/>
          <w:lang w:val="es-ES"/>
        </w:rPr>
        <w:t>b</w:t>
      </w:r>
      <w:r w:rsidR="00A94A83" w:rsidRPr="006A2166">
        <w:rPr>
          <w:rFonts w:ascii="Times New Roman" w:hAnsi="Times New Roman" w:cs="Times New Roman"/>
          <w:color w:val="000000" w:themeColor="text1"/>
          <w:lang w:val="es-ES"/>
        </w:rPr>
        <w:t>a</w:t>
      </w:r>
      <w:r w:rsidR="00665BAC" w:rsidRPr="006A2166">
        <w:rPr>
          <w:rFonts w:ascii="Times New Roman" w:hAnsi="Times New Roman" w:cs="Times New Roman"/>
          <w:color w:val="000000" w:themeColor="text1"/>
          <w:lang w:val="es-ES"/>
        </w:rPr>
        <w:t>rgo</w:t>
      </w:r>
      <w:r w:rsidRPr="006A2166">
        <w:rPr>
          <w:rFonts w:ascii="Times New Roman" w:hAnsi="Times New Roman" w:cs="Times New Roman"/>
          <w:color w:val="000000" w:themeColor="text1"/>
          <w:lang w:val="es-ES"/>
        </w:rPr>
        <w:t>,</w:t>
      </w:r>
      <w:r w:rsidR="00665BAC" w:rsidRPr="006A2166">
        <w:rPr>
          <w:rFonts w:ascii="Times New Roman" w:hAnsi="Times New Roman" w:cs="Times New Roman"/>
          <w:color w:val="000000" w:themeColor="text1"/>
          <w:lang w:val="es-ES"/>
        </w:rPr>
        <w:t xml:space="preserve"> como lo señala la m</w:t>
      </w:r>
      <w:r w:rsidRPr="006A2166">
        <w:rPr>
          <w:rFonts w:ascii="Times New Roman" w:hAnsi="Times New Roman" w:cs="Times New Roman"/>
          <w:color w:val="000000" w:themeColor="text1"/>
          <w:lang w:val="es-ES"/>
        </w:rPr>
        <w:t>isma Corte Constitucional en l</w:t>
      </w:r>
      <w:r w:rsidR="00665BAC" w:rsidRPr="006A2166">
        <w:rPr>
          <w:rFonts w:ascii="Times New Roman" w:hAnsi="Times New Roman" w:cs="Times New Roman"/>
          <w:color w:val="000000" w:themeColor="text1"/>
          <w:lang w:val="es-ES"/>
        </w:rPr>
        <w:t xml:space="preserve">a sentencia </w:t>
      </w:r>
      <w:r w:rsidRPr="006A2166">
        <w:rPr>
          <w:rFonts w:ascii="Times New Roman" w:hAnsi="Times New Roman" w:cs="Times New Roman"/>
          <w:color w:val="000000" w:themeColor="text1"/>
          <w:lang w:val="es-ES"/>
        </w:rPr>
        <w:t xml:space="preserve">de estudio </w:t>
      </w:r>
      <w:r w:rsidR="00665BAC" w:rsidRPr="006A2166">
        <w:rPr>
          <w:rFonts w:ascii="Times New Roman" w:hAnsi="Times New Roman" w:cs="Times New Roman"/>
          <w:color w:val="000000" w:themeColor="text1"/>
          <w:lang w:val="es-ES"/>
        </w:rPr>
        <w:t xml:space="preserve">no es lo mismo la consulta </w:t>
      </w:r>
      <w:r w:rsidR="00A455A1" w:rsidRPr="006A2166">
        <w:rPr>
          <w:rFonts w:ascii="Times New Roman" w:hAnsi="Times New Roman" w:cs="Times New Roman"/>
          <w:color w:val="000000" w:themeColor="text1"/>
          <w:lang w:val="es-ES"/>
        </w:rPr>
        <w:t>pre legislativa</w:t>
      </w:r>
      <w:r w:rsidR="00665BAC" w:rsidRPr="006A2166">
        <w:rPr>
          <w:rFonts w:ascii="Times New Roman" w:hAnsi="Times New Roman" w:cs="Times New Roman"/>
          <w:color w:val="000000" w:themeColor="text1"/>
          <w:lang w:val="es-ES"/>
        </w:rPr>
        <w:t xml:space="preserve"> </w:t>
      </w:r>
      <w:r w:rsidRPr="006A2166">
        <w:rPr>
          <w:rFonts w:ascii="Times New Roman" w:hAnsi="Times New Roman" w:cs="Times New Roman"/>
          <w:color w:val="000000" w:themeColor="text1"/>
          <w:lang w:val="es-ES"/>
        </w:rPr>
        <w:t xml:space="preserve">establecida </w:t>
      </w:r>
      <w:r w:rsidR="00665BAC" w:rsidRPr="006A2166">
        <w:rPr>
          <w:rFonts w:ascii="Times New Roman" w:hAnsi="Times New Roman" w:cs="Times New Roman"/>
          <w:color w:val="000000" w:themeColor="text1"/>
          <w:lang w:val="es-ES"/>
        </w:rPr>
        <w:t xml:space="preserve">en el Art. 57 </w:t>
      </w:r>
      <w:r w:rsidR="00A455A1" w:rsidRPr="006A2166">
        <w:rPr>
          <w:rFonts w:ascii="Times New Roman" w:hAnsi="Times New Roman" w:cs="Times New Roman"/>
          <w:color w:val="000000" w:themeColor="text1"/>
          <w:lang w:val="es-ES"/>
        </w:rPr>
        <w:t>núm.</w:t>
      </w:r>
      <w:r w:rsidR="00665BAC" w:rsidRPr="006A2166">
        <w:rPr>
          <w:rFonts w:ascii="Times New Roman" w:hAnsi="Times New Roman" w:cs="Times New Roman"/>
          <w:color w:val="000000" w:themeColor="text1"/>
          <w:lang w:val="es-ES"/>
        </w:rPr>
        <w:t xml:space="preserve"> 17 de la Constitución que la </w:t>
      </w:r>
      <w:r w:rsidRPr="006A2166">
        <w:rPr>
          <w:rFonts w:ascii="Times New Roman" w:hAnsi="Times New Roman" w:cs="Times New Roman"/>
          <w:color w:val="000000" w:themeColor="text1"/>
          <w:lang w:val="es-ES"/>
        </w:rPr>
        <w:t xml:space="preserve">consulta previa establecida en </w:t>
      </w:r>
      <w:r w:rsidR="00665BAC" w:rsidRPr="006A2166">
        <w:rPr>
          <w:rFonts w:ascii="Times New Roman" w:hAnsi="Times New Roman" w:cs="Times New Roman"/>
          <w:color w:val="000000" w:themeColor="text1"/>
          <w:lang w:val="es-ES"/>
        </w:rPr>
        <w:t xml:space="preserve">el Art. 57 numeral </w:t>
      </w:r>
      <w:r w:rsidR="00A94A83" w:rsidRPr="006A2166">
        <w:rPr>
          <w:rFonts w:ascii="Times New Roman" w:hAnsi="Times New Roman" w:cs="Times New Roman"/>
          <w:color w:val="000000" w:themeColor="text1"/>
          <w:lang w:val="es-ES"/>
        </w:rPr>
        <w:t xml:space="preserve">8, son dos consultas distintas que fomentan la participación de estos colectivos, </w:t>
      </w:r>
      <w:r w:rsidR="00A4597C" w:rsidRPr="006A2166">
        <w:rPr>
          <w:rFonts w:ascii="Times New Roman" w:hAnsi="Times New Roman" w:cs="Times New Roman"/>
          <w:color w:val="000000" w:themeColor="text1"/>
          <w:lang w:val="es-ES"/>
        </w:rPr>
        <w:t xml:space="preserve">de manera </w:t>
      </w:r>
      <w:r w:rsidR="00A94A83" w:rsidRPr="006A2166">
        <w:rPr>
          <w:rFonts w:ascii="Times New Roman" w:hAnsi="Times New Roman" w:cs="Times New Roman"/>
          <w:color w:val="000000" w:themeColor="text1"/>
          <w:lang w:val="es-ES"/>
        </w:rPr>
        <w:t xml:space="preserve">que la Ley de Minería debió contar con una consulta </w:t>
      </w:r>
      <w:r w:rsidR="00A455A1" w:rsidRPr="006A2166">
        <w:rPr>
          <w:rFonts w:ascii="Times New Roman" w:hAnsi="Times New Roman" w:cs="Times New Roman"/>
          <w:color w:val="000000" w:themeColor="text1"/>
          <w:lang w:val="es-ES"/>
        </w:rPr>
        <w:t>pre legislativa</w:t>
      </w:r>
      <w:r w:rsidR="00A94A83" w:rsidRPr="006A2166">
        <w:rPr>
          <w:rFonts w:ascii="Times New Roman" w:hAnsi="Times New Roman" w:cs="Times New Roman"/>
          <w:color w:val="000000" w:themeColor="text1"/>
          <w:lang w:val="es-ES"/>
        </w:rPr>
        <w:t xml:space="preserve"> previa su expedición puesto que </w:t>
      </w:r>
      <w:r w:rsidR="00A455A1" w:rsidRPr="006A2166">
        <w:rPr>
          <w:rFonts w:ascii="Times New Roman" w:hAnsi="Times New Roman" w:cs="Times New Roman"/>
          <w:color w:val="000000" w:themeColor="text1"/>
          <w:lang w:val="es-ES"/>
        </w:rPr>
        <w:t>prevé</w:t>
      </w:r>
      <w:r w:rsidR="00A94A83" w:rsidRPr="006A2166">
        <w:rPr>
          <w:rFonts w:ascii="Times New Roman" w:hAnsi="Times New Roman" w:cs="Times New Roman"/>
          <w:color w:val="000000" w:themeColor="text1"/>
          <w:lang w:val="es-ES"/>
        </w:rPr>
        <w:t xml:space="preserve"> </w:t>
      </w:r>
      <w:r w:rsidR="00A94A83" w:rsidRPr="006A2166">
        <w:rPr>
          <w:rFonts w:ascii="Times New Roman" w:hAnsi="Times New Roman" w:cs="Times New Roman"/>
          <w:color w:val="000000" w:themeColor="text1"/>
        </w:rPr>
        <w:t xml:space="preserve">i) concesiones de tierras indígenas, ii) porcentajes de beneficios contractuales y regalías para las comunidades indígenas, </w:t>
      </w:r>
      <w:r w:rsidRPr="006A2166">
        <w:rPr>
          <w:rFonts w:ascii="Times New Roman" w:hAnsi="Times New Roman" w:cs="Times New Roman"/>
          <w:color w:val="000000" w:themeColor="text1"/>
        </w:rPr>
        <w:t xml:space="preserve">y además previo la aprobación de </w:t>
      </w:r>
      <w:r w:rsidR="00A94A83" w:rsidRPr="006A2166">
        <w:rPr>
          <w:rFonts w:ascii="Times New Roman" w:hAnsi="Times New Roman" w:cs="Times New Roman"/>
          <w:color w:val="000000" w:themeColor="text1"/>
        </w:rPr>
        <w:t xml:space="preserve">una concesión minera </w:t>
      </w:r>
      <w:r w:rsidRPr="006A2166">
        <w:rPr>
          <w:rFonts w:ascii="Times New Roman" w:hAnsi="Times New Roman" w:cs="Times New Roman"/>
          <w:color w:val="000000" w:themeColor="text1"/>
        </w:rPr>
        <w:t xml:space="preserve">por parte del Estado </w:t>
      </w:r>
      <w:r w:rsidR="00A94A83" w:rsidRPr="006A2166">
        <w:rPr>
          <w:rFonts w:ascii="Times New Roman" w:hAnsi="Times New Roman" w:cs="Times New Roman"/>
          <w:color w:val="000000" w:themeColor="text1"/>
        </w:rPr>
        <w:t>se deberá requerir previamente una consulta previa.</w:t>
      </w:r>
    </w:p>
    <w:p w14:paraId="3AC9F755" w14:textId="77777777" w:rsidR="00A94A83" w:rsidRPr="006A2166" w:rsidRDefault="00A94A83" w:rsidP="0025217E">
      <w:pPr>
        <w:spacing w:line="276" w:lineRule="auto"/>
        <w:jc w:val="both"/>
        <w:rPr>
          <w:rFonts w:ascii="Times New Roman" w:hAnsi="Times New Roman" w:cs="Times New Roman"/>
          <w:color w:val="000000" w:themeColor="text1"/>
        </w:rPr>
      </w:pPr>
    </w:p>
    <w:p w14:paraId="2D9A2BDB" w14:textId="2F450CD3" w:rsidR="0022051B" w:rsidRPr="006A2166" w:rsidRDefault="005B7FD0" w:rsidP="0025217E">
      <w:pPr>
        <w:widowControl w:val="0"/>
        <w:autoSpaceDE w:val="0"/>
        <w:autoSpaceDN w:val="0"/>
        <w:adjustRightInd w:val="0"/>
        <w:spacing w:after="240" w:line="276" w:lineRule="auto"/>
        <w:jc w:val="both"/>
        <w:rPr>
          <w:rFonts w:ascii="Times New Roman" w:hAnsi="Times New Roman" w:cs="Times New Roman"/>
          <w:color w:val="000000" w:themeColor="text1"/>
          <w:lang w:val="es-ES"/>
        </w:rPr>
      </w:pPr>
      <w:r w:rsidRPr="006A2166">
        <w:rPr>
          <w:rFonts w:ascii="Times New Roman" w:hAnsi="Times New Roman" w:cs="Times New Roman"/>
          <w:color w:val="000000" w:themeColor="text1"/>
          <w:lang w:val="es-ES"/>
        </w:rPr>
        <w:t xml:space="preserve">    </w:t>
      </w:r>
      <w:r w:rsidR="00BF62D1">
        <w:rPr>
          <w:rFonts w:ascii="Times New Roman" w:hAnsi="Times New Roman" w:cs="Times New Roman"/>
          <w:color w:val="000000" w:themeColor="text1"/>
          <w:lang w:val="es-ES"/>
        </w:rPr>
        <w:t xml:space="preserve"> </w:t>
      </w:r>
      <w:r w:rsidRPr="006A2166">
        <w:rPr>
          <w:rFonts w:ascii="Times New Roman" w:hAnsi="Times New Roman" w:cs="Times New Roman"/>
          <w:color w:val="000000" w:themeColor="text1"/>
          <w:lang w:val="es-ES"/>
        </w:rPr>
        <w:t>En</w:t>
      </w:r>
      <w:r w:rsidR="0022051B" w:rsidRPr="006A2166">
        <w:rPr>
          <w:rFonts w:ascii="Times New Roman" w:hAnsi="Times New Roman" w:cs="Times New Roman"/>
          <w:color w:val="000000" w:themeColor="text1"/>
          <w:lang w:val="es-ES"/>
        </w:rPr>
        <w:t xml:space="preserve"> el ámbito internaciona</w:t>
      </w:r>
      <w:r w:rsidRPr="006A2166">
        <w:rPr>
          <w:rFonts w:ascii="Times New Roman" w:hAnsi="Times New Roman" w:cs="Times New Roman"/>
          <w:color w:val="000000" w:themeColor="text1"/>
          <w:lang w:val="es-ES"/>
        </w:rPr>
        <w:t xml:space="preserve">l </w:t>
      </w:r>
      <w:r w:rsidR="0022051B" w:rsidRPr="006A2166">
        <w:rPr>
          <w:rFonts w:ascii="Times New Roman" w:hAnsi="Times New Roman" w:cs="Times New Roman"/>
          <w:color w:val="000000" w:themeColor="text1"/>
          <w:lang w:val="es-ES"/>
        </w:rPr>
        <w:t>el Convenio 169 de la OIT</w:t>
      </w:r>
      <w:r w:rsidR="0022051B" w:rsidRPr="006A2166">
        <w:rPr>
          <w:rStyle w:val="Refdenotaalpie"/>
          <w:rFonts w:ascii="Times New Roman" w:hAnsi="Times New Roman" w:cs="Times New Roman"/>
          <w:color w:val="000000" w:themeColor="text1"/>
          <w:lang w:val="es-ES"/>
        </w:rPr>
        <w:footnoteReference w:id="9"/>
      </w:r>
      <w:r w:rsidR="0022051B" w:rsidRPr="006A2166">
        <w:rPr>
          <w:rFonts w:ascii="Times New Roman" w:hAnsi="Times New Roman" w:cs="Times New Roman"/>
          <w:color w:val="000000" w:themeColor="text1"/>
          <w:lang w:val="es-ES"/>
        </w:rPr>
        <w:t xml:space="preserve">; la Declaración de las Naciones Unidas sobre los Derechos de los Pueblos Indígenas </w:t>
      </w:r>
      <w:r w:rsidR="0022051B" w:rsidRPr="006A2166">
        <w:rPr>
          <w:rFonts w:ascii="Times New Roman" w:hAnsi="Times New Roman" w:cs="Times New Roman"/>
          <w:color w:val="000000" w:themeColor="text1"/>
        </w:rPr>
        <w:t>2007</w:t>
      </w:r>
      <w:r w:rsidR="0022051B" w:rsidRPr="006A2166">
        <w:rPr>
          <w:rFonts w:ascii="Times New Roman" w:hAnsi="Times New Roman" w:cs="Times New Roman"/>
          <w:color w:val="000000" w:themeColor="text1"/>
          <w:lang w:val="es-ES"/>
        </w:rPr>
        <w:t xml:space="preserve">, </w:t>
      </w:r>
      <w:r w:rsidRPr="006A2166">
        <w:rPr>
          <w:rFonts w:ascii="Times New Roman" w:hAnsi="Times New Roman" w:cs="Times New Roman"/>
          <w:color w:val="000000" w:themeColor="text1"/>
          <w:lang w:val="es-ES"/>
        </w:rPr>
        <w:t xml:space="preserve">y </w:t>
      </w:r>
      <w:r w:rsidR="0022051B" w:rsidRPr="006A2166">
        <w:rPr>
          <w:rFonts w:ascii="Times New Roman" w:hAnsi="Times New Roman" w:cs="Times New Roman"/>
          <w:color w:val="000000" w:themeColor="text1"/>
          <w:lang w:val="es-ES"/>
        </w:rPr>
        <w:t xml:space="preserve">la sentencia dictada por la Corte Interamericana de Derechos Humanos en el caso del Pueblo Sarayacu vs Ecuador </w:t>
      </w:r>
      <w:r w:rsidRPr="006A2166">
        <w:rPr>
          <w:rFonts w:ascii="Times New Roman" w:hAnsi="Times New Roman" w:cs="Times New Roman"/>
          <w:color w:val="000000" w:themeColor="text1"/>
          <w:lang w:val="es-ES"/>
        </w:rPr>
        <w:lastRenderedPageBreak/>
        <w:t xml:space="preserve">establecen la obligación de los Estados de consultar con carácter previo a la adopción de medidas legislativas que afecten sus derechos o sus intereses, puesto que el incumplimiento de las consultas genera responsabilidad para los </w:t>
      </w:r>
      <w:r w:rsidR="00A455A1" w:rsidRPr="006A2166">
        <w:rPr>
          <w:rFonts w:ascii="Times New Roman" w:hAnsi="Times New Roman" w:cs="Times New Roman"/>
          <w:color w:val="000000" w:themeColor="text1"/>
          <w:lang w:val="es-ES"/>
        </w:rPr>
        <w:t>Estados.</w:t>
      </w:r>
    </w:p>
    <w:p w14:paraId="00C62DB9" w14:textId="5A12BE7F" w:rsidR="000C632D" w:rsidRPr="006A2166" w:rsidRDefault="000C632D" w:rsidP="0025217E">
      <w:pPr>
        <w:widowControl w:val="0"/>
        <w:autoSpaceDE w:val="0"/>
        <w:autoSpaceDN w:val="0"/>
        <w:adjustRightInd w:val="0"/>
        <w:spacing w:after="240" w:line="276" w:lineRule="auto"/>
        <w:jc w:val="both"/>
        <w:rPr>
          <w:rFonts w:ascii="Times New Roman" w:hAnsi="Times New Roman" w:cs="Times New Roman"/>
          <w:bCs/>
          <w:color w:val="000000" w:themeColor="text1"/>
          <w:lang w:val="es-ES"/>
        </w:rPr>
      </w:pPr>
      <w:r w:rsidRPr="006A2166">
        <w:rPr>
          <w:rFonts w:ascii="Times New Roman" w:hAnsi="Times New Roman" w:cs="Times New Roman"/>
          <w:color w:val="000000" w:themeColor="text1"/>
          <w:lang w:val="es-ES"/>
        </w:rPr>
        <w:t xml:space="preserve">     </w:t>
      </w:r>
      <w:r w:rsidR="00DB59C1" w:rsidRPr="006A2166">
        <w:rPr>
          <w:rFonts w:ascii="Times New Roman" w:hAnsi="Times New Roman" w:cs="Times New Roman"/>
          <w:color w:val="000000" w:themeColor="text1"/>
          <w:lang w:val="es-ES"/>
        </w:rPr>
        <w:t>En la demanda de inconstitucionalidad</w:t>
      </w:r>
      <w:r w:rsidRPr="006A2166">
        <w:rPr>
          <w:rFonts w:ascii="Times New Roman" w:hAnsi="Times New Roman" w:cs="Times New Roman"/>
          <w:bCs/>
          <w:color w:val="000000" w:themeColor="text1"/>
          <w:lang w:val="es-ES"/>
        </w:rPr>
        <w:t xml:space="preserve"> No. 0008-09-IN y 0011-09-IN sobre la acción de inconstitucionalidad de la Ley de Minería se alegó la ausencia de consulta pre-legislativa antes de expedir la norma, debido que la mayor cantidad de recursos mineros se encuentran en los territorios de pueblos y nacionalidades indígenas. </w:t>
      </w:r>
    </w:p>
    <w:p w14:paraId="67F9EEB1" w14:textId="2F5D8248" w:rsidR="00A94A83" w:rsidRPr="006A2166" w:rsidRDefault="000C632D" w:rsidP="0025217E">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w:t>
      </w:r>
      <w:r w:rsidR="005031D9" w:rsidRPr="006A2166">
        <w:rPr>
          <w:rFonts w:ascii="Times New Roman" w:hAnsi="Times New Roman" w:cs="Times New Roman"/>
          <w:color w:val="000000" w:themeColor="text1"/>
        </w:rPr>
        <w:t xml:space="preserve">    Al respecto, la Corte Consti</w:t>
      </w:r>
      <w:r w:rsidRPr="006A2166">
        <w:rPr>
          <w:rFonts w:ascii="Times New Roman" w:hAnsi="Times New Roman" w:cs="Times New Roman"/>
          <w:color w:val="000000" w:themeColor="text1"/>
        </w:rPr>
        <w:t xml:space="preserve">tucional ecuatoriana señaló en el voto de la mayoría que a partir de la </w:t>
      </w:r>
      <w:r w:rsidR="005031D9" w:rsidRPr="006A2166">
        <w:rPr>
          <w:rFonts w:ascii="Times New Roman" w:hAnsi="Times New Roman" w:cs="Times New Roman"/>
          <w:color w:val="000000" w:themeColor="text1"/>
        </w:rPr>
        <w:t xml:space="preserve">expedición de la </w:t>
      </w:r>
      <w:r w:rsidRPr="006A2166">
        <w:rPr>
          <w:rFonts w:ascii="Times New Roman" w:hAnsi="Times New Roman" w:cs="Times New Roman"/>
          <w:color w:val="000000" w:themeColor="text1"/>
        </w:rPr>
        <w:t>Constitución</w:t>
      </w:r>
      <w:r w:rsidR="005031D9" w:rsidRPr="006A2166">
        <w:rPr>
          <w:rFonts w:ascii="Times New Roman" w:hAnsi="Times New Roman" w:cs="Times New Roman"/>
          <w:color w:val="000000" w:themeColor="text1"/>
        </w:rPr>
        <w:t xml:space="preserve"> 2008</w:t>
      </w:r>
      <w:r w:rsidRPr="006A2166">
        <w:rPr>
          <w:rFonts w:ascii="Times New Roman" w:hAnsi="Times New Roman" w:cs="Times New Roman"/>
          <w:color w:val="000000" w:themeColor="text1"/>
        </w:rPr>
        <w:t xml:space="preserve"> y sus disposiciones transitorias la Asamblea Nacional ha tenido que someterse a plazos muy cortos, lo que </w:t>
      </w:r>
      <w:r w:rsidR="00A455A1" w:rsidRPr="006A2166">
        <w:rPr>
          <w:rFonts w:ascii="Times New Roman" w:hAnsi="Times New Roman" w:cs="Times New Roman"/>
          <w:color w:val="000000" w:themeColor="text1"/>
        </w:rPr>
        <w:t>ocasionó</w:t>
      </w:r>
      <w:r w:rsidRPr="006A2166">
        <w:rPr>
          <w:rFonts w:ascii="Times New Roman" w:hAnsi="Times New Roman" w:cs="Times New Roman"/>
          <w:color w:val="000000" w:themeColor="text1"/>
        </w:rPr>
        <w:t xml:space="preserve"> apresurar procesos para cumplir objetivos y obligaciones constitucionales, es decir que el proceso de elaboración y aprobación </w:t>
      </w:r>
      <w:r w:rsidR="00881902" w:rsidRPr="006A2166">
        <w:rPr>
          <w:rFonts w:ascii="Times New Roman" w:hAnsi="Times New Roman" w:cs="Times New Roman"/>
          <w:color w:val="000000" w:themeColor="text1"/>
        </w:rPr>
        <w:t>“</w:t>
      </w:r>
      <w:r w:rsidRPr="006A2166">
        <w:rPr>
          <w:rFonts w:ascii="Times New Roman" w:hAnsi="Times New Roman" w:cs="Times New Roman"/>
          <w:color w:val="000000" w:themeColor="text1"/>
        </w:rPr>
        <w:t>estuvo enmarcado en una situación excepcional (</w:t>
      </w:r>
      <w:r w:rsidRPr="006A2166">
        <w:rPr>
          <w:rFonts w:ascii="Times New Roman" w:hAnsi="Times New Roman" w:cs="Times New Roman"/>
          <w:i/>
          <w:color w:val="000000" w:themeColor="text1"/>
        </w:rPr>
        <w:t>principio rebus sic stantibus</w:t>
      </w:r>
      <w:r w:rsidRPr="006A2166">
        <w:rPr>
          <w:rFonts w:ascii="Times New Roman" w:hAnsi="Times New Roman" w:cs="Times New Roman"/>
          <w:color w:val="000000" w:themeColor="text1"/>
        </w:rPr>
        <w:t xml:space="preserve"> – cambio sustancial de circunstancias)</w:t>
      </w:r>
      <w:r w:rsidR="00881902" w:rsidRPr="006A2166">
        <w:rPr>
          <w:rFonts w:ascii="Times New Roman" w:hAnsi="Times New Roman" w:cs="Times New Roman"/>
          <w:color w:val="000000" w:themeColor="text1"/>
        </w:rPr>
        <w:t xml:space="preserve"> ”</w:t>
      </w:r>
      <w:r w:rsidRPr="006A2166">
        <w:rPr>
          <w:rFonts w:ascii="Times New Roman" w:hAnsi="Times New Roman" w:cs="Times New Roman"/>
          <w:color w:val="000000" w:themeColor="text1"/>
        </w:rPr>
        <w:t xml:space="preserve"> </w:t>
      </w:r>
      <w:r w:rsidR="00881902" w:rsidRPr="006A2166">
        <w:rPr>
          <w:rFonts w:ascii="Times New Roman" w:hAnsi="Times New Roman" w:cs="Times New Roman"/>
          <w:color w:val="000000" w:themeColor="text1"/>
        </w:rPr>
        <w:t>(2010, p.38).</w:t>
      </w:r>
      <w:r w:rsidRPr="006A2166">
        <w:rPr>
          <w:rFonts w:ascii="Times New Roman" w:hAnsi="Times New Roman" w:cs="Times New Roman"/>
          <w:color w:val="000000" w:themeColor="text1"/>
        </w:rPr>
        <w:t xml:space="preserve">y establece que en el proceso legislativo si se implementaron mecanismos de información, si bien no se equipara a la Consulta </w:t>
      </w:r>
      <w:r w:rsidR="00A455A1" w:rsidRPr="006A2166">
        <w:rPr>
          <w:rFonts w:ascii="Times New Roman" w:hAnsi="Times New Roman" w:cs="Times New Roman"/>
          <w:color w:val="000000" w:themeColor="text1"/>
        </w:rPr>
        <w:t>pre legislativa</w:t>
      </w:r>
      <w:r w:rsidRPr="006A2166">
        <w:rPr>
          <w:rFonts w:ascii="Times New Roman" w:hAnsi="Times New Roman" w:cs="Times New Roman"/>
          <w:color w:val="000000" w:themeColor="text1"/>
        </w:rPr>
        <w:t xml:space="preserve"> contiene elementos sustanciales del mismo</w:t>
      </w:r>
      <w:r w:rsidR="00881902" w:rsidRPr="006A2166">
        <w:rPr>
          <w:rFonts w:ascii="Times New Roman" w:hAnsi="Times New Roman" w:cs="Times New Roman"/>
          <w:color w:val="000000" w:themeColor="text1"/>
        </w:rPr>
        <w:t>.</w:t>
      </w:r>
      <w:r w:rsidR="005031D9" w:rsidRPr="006A2166">
        <w:rPr>
          <w:rFonts w:ascii="Times New Roman" w:hAnsi="Times New Roman" w:cs="Times New Roman"/>
          <w:color w:val="000000" w:themeColor="text1"/>
        </w:rPr>
        <w:t>”</w:t>
      </w:r>
      <w:r w:rsidRPr="006A2166">
        <w:rPr>
          <w:rStyle w:val="Refdenotaalpie"/>
          <w:rFonts w:ascii="Times New Roman" w:hAnsi="Times New Roman" w:cs="Times New Roman"/>
          <w:color w:val="000000" w:themeColor="text1"/>
        </w:rPr>
        <w:footnoteReference w:id="10"/>
      </w:r>
    </w:p>
    <w:p w14:paraId="587DE0C7" w14:textId="5BC7D3BA" w:rsidR="0022051B" w:rsidRPr="006A2166" w:rsidRDefault="005031D9" w:rsidP="0025217E">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w:t>
      </w:r>
      <w:r w:rsidR="0022051B" w:rsidRPr="006A2166">
        <w:rPr>
          <w:rFonts w:ascii="Times New Roman" w:hAnsi="Times New Roman" w:cs="Times New Roman"/>
          <w:color w:val="000000" w:themeColor="text1"/>
        </w:rPr>
        <w:t xml:space="preserve">Por lo tanto, hasta que el legislativo emita la ley correspondiente, la Corte </w:t>
      </w:r>
      <w:r w:rsidRPr="006A2166">
        <w:rPr>
          <w:rFonts w:ascii="Times New Roman" w:hAnsi="Times New Roman" w:cs="Times New Roman"/>
          <w:color w:val="000000" w:themeColor="text1"/>
        </w:rPr>
        <w:t xml:space="preserve">en su sentencia </w:t>
      </w:r>
      <w:r w:rsidR="0022051B" w:rsidRPr="006A2166">
        <w:rPr>
          <w:rFonts w:ascii="Times New Roman" w:hAnsi="Times New Roman" w:cs="Times New Roman"/>
          <w:color w:val="000000" w:themeColor="text1"/>
        </w:rPr>
        <w:t>establece</w:t>
      </w:r>
      <w:r w:rsidRPr="006A2166">
        <w:rPr>
          <w:rFonts w:ascii="Times New Roman" w:hAnsi="Times New Roman" w:cs="Times New Roman"/>
          <w:color w:val="000000" w:themeColor="text1"/>
        </w:rPr>
        <w:t xml:space="preserve"> una sentencia aditiva que incluye</w:t>
      </w:r>
      <w:r w:rsidR="0022051B" w:rsidRPr="006A2166">
        <w:rPr>
          <w:rFonts w:ascii="Times New Roman" w:hAnsi="Times New Roman" w:cs="Times New Roman"/>
          <w:color w:val="000000" w:themeColor="text1"/>
        </w:rPr>
        <w:t xml:space="preserve"> reglas y procedimiento</w:t>
      </w:r>
      <w:r w:rsidR="00AB5DEA" w:rsidRPr="006A2166">
        <w:rPr>
          <w:rFonts w:ascii="Times New Roman" w:hAnsi="Times New Roman" w:cs="Times New Roman"/>
          <w:color w:val="000000" w:themeColor="text1"/>
        </w:rPr>
        <w:t>s</w:t>
      </w:r>
      <w:r w:rsidRPr="006A2166">
        <w:rPr>
          <w:rFonts w:ascii="Times New Roman" w:hAnsi="Times New Roman" w:cs="Times New Roman"/>
          <w:color w:val="000000" w:themeColor="text1"/>
        </w:rPr>
        <w:t xml:space="preserve"> mínimos que el Estado deberá cumplir previa la adopción de normas qu</w:t>
      </w:r>
      <w:r w:rsidR="00AB5DEA" w:rsidRPr="006A2166">
        <w:rPr>
          <w:rFonts w:ascii="Times New Roman" w:hAnsi="Times New Roman" w:cs="Times New Roman"/>
          <w:color w:val="000000" w:themeColor="text1"/>
        </w:rPr>
        <w:t>e afecte</w:t>
      </w:r>
      <w:r w:rsidRPr="006A2166">
        <w:rPr>
          <w:rFonts w:ascii="Times New Roman" w:hAnsi="Times New Roman" w:cs="Times New Roman"/>
          <w:color w:val="000000" w:themeColor="text1"/>
        </w:rPr>
        <w:t xml:space="preserve">n a comunas, comunidades, pueblos y nacionalidades indígenas, </w:t>
      </w:r>
      <w:r w:rsidR="00A455A1" w:rsidRPr="006A2166">
        <w:rPr>
          <w:rFonts w:ascii="Times New Roman" w:hAnsi="Times New Roman" w:cs="Times New Roman"/>
          <w:color w:val="000000" w:themeColor="text1"/>
        </w:rPr>
        <w:t>afro ecuatorianos</w:t>
      </w:r>
      <w:r w:rsidRPr="006A2166">
        <w:rPr>
          <w:rFonts w:ascii="Times New Roman" w:hAnsi="Times New Roman" w:cs="Times New Roman"/>
          <w:color w:val="000000" w:themeColor="text1"/>
        </w:rPr>
        <w:t xml:space="preserve"> y montubios.</w:t>
      </w:r>
    </w:p>
    <w:p w14:paraId="65941CAE" w14:textId="77777777" w:rsidR="00247F46" w:rsidRPr="006A2166" w:rsidRDefault="00247F46" w:rsidP="0025217E">
      <w:pPr>
        <w:spacing w:line="276" w:lineRule="auto"/>
        <w:jc w:val="both"/>
        <w:rPr>
          <w:rFonts w:ascii="Times New Roman" w:hAnsi="Times New Roman" w:cs="Times New Roman"/>
          <w:color w:val="000000" w:themeColor="text1"/>
        </w:rPr>
      </w:pPr>
    </w:p>
    <w:p w14:paraId="0F129ECF" w14:textId="70AA9714" w:rsidR="0022051B" w:rsidRPr="006A2166" w:rsidRDefault="003C2724" w:rsidP="0025217E">
      <w:pPr>
        <w:spacing w:line="276" w:lineRule="auto"/>
        <w:jc w:val="both"/>
        <w:rPr>
          <w:rFonts w:ascii="Times New Roman" w:hAnsi="Times New Roman" w:cs="Times New Roman"/>
          <w:color w:val="000000" w:themeColor="text1"/>
        </w:rPr>
      </w:pPr>
      <w:r w:rsidRPr="006A2166">
        <w:rPr>
          <w:rFonts w:ascii="Times New Roman" w:hAnsi="Times New Roman" w:cs="Times New Roman"/>
          <w:color w:val="000000" w:themeColor="text1"/>
        </w:rPr>
        <w:t xml:space="preserve">     </w:t>
      </w:r>
      <w:r w:rsidR="005031D9" w:rsidRPr="006A2166">
        <w:rPr>
          <w:rFonts w:ascii="Times New Roman" w:hAnsi="Times New Roman" w:cs="Times New Roman"/>
          <w:color w:val="000000" w:themeColor="text1"/>
        </w:rPr>
        <w:t xml:space="preserve">En efecto, </w:t>
      </w:r>
      <w:r w:rsidR="00A4597C" w:rsidRPr="006A2166">
        <w:rPr>
          <w:rFonts w:ascii="Times New Roman" w:hAnsi="Times New Roman" w:cs="Times New Roman"/>
          <w:color w:val="000000" w:themeColor="text1"/>
        </w:rPr>
        <w:t>La Corte Constitucional acoge</w:t>
      </w:r>
      <w:r w:rsidR="0022051B" w:rsidRPr="006A2166">
        <w:rPr>
          <w:rFonts w:ascii="Times New Roman" w:hAnsi="Times New Roman" w:cs="Times New Roman"/>
          <w:color w:val="000000" w:themeColor="text1"/>
        </w:rPr>
        <w:t xml:space="preserve"> las recomendaciones generales del Relator Especial James Anaya respecto a requisitos mínimos que debe cumplir el proceso de consulta previa i) carácter flexible del procedimiento</w:t>
      </w:r>
      <w:r w:rsidR="0025217E" w:rsidRPr="006A2166">
        <w:rPr>
          <w:rFonts w:ascii="Times New Roman" w:hAnsi="Times New Roman" w:cs="Times New Roman"/>
          <w:color w:val="000000" w:themeColor="text1"/>
        </w:rPr>
        <w:t>,</w:t>
      </w:r>
      <w:r w:rsidR="0022051B" w:rsidRPr="006A2166">
        <w:rPr>
          <w:rFonts w:ascii="Times New Roman" w:hAnsi="Times New Roman" w:cs="Times New Roman"/>
          <w:color w:val="000000" w:themeColor="text1"/>
        </w:rPr>
        <w:t xml:space="preserve"> ii)</w:t>
      </w:r>
      <w:r w:rsidR="0025217E" w:rsidRPr="006A2166">
        <w:rPr>
          <w:rFonts w:ascii="Times New Roman" w:hAnsi="Times New Roman" w:cs="Times New Roman"/>
          <w:color w:val="000000" w:themeColor="text1"/>
        </w:rPr>
        <w:t xml:space="preserve"> </w:t>
      </w:r>
      <w:r w:rsidR="0022051B" w:rsidRPr="006A2166">
        <w:rPr>
          <w:rFonts w:ascii="Times New Roman" w:hAnsi="Times New Roman" w:cs="Times New Roman"/>
          <w:color w:val="000000" w:themeColor="text1"/>
        </w:rPr>
        <w:t>carácter previo de la consulta</w:t>
      </w:r>
      <w:r w:rsidR="0025217E" w:rsidRPr="006A2166">
        <w:rPr>
          <w:rFonts w:ascii="Times New Roman" w:hAnsi="Times New Roman" w:cs="Times New Roman"/>
          <w:color w:val="000000" w:themeColor="text1"/>
        </w:rPr>
        <w:t>,</w:t>
      </w:r>
      <w:r w:rsidR="0022051B" w:rsidRPr="006A2166">
        <w:rPr>
          <w:rFonts w:ascii="Times New Roman" w:hAnsi="Times New Roman" w:cs="Times New Roman"/>
          <w:color w:val="000000" w:themeColor="text1"/>
        </w:rPr>
        <w:t xml:space="preserve"> iii) carácter público e informado de la consulta</w:t>
      </w:r>
      <w:r w:rsidR="0025217E" w:rsidRPr="006A2166">
        <w:rPr>
          <w:rFonts w:ascii="Times New Roman" w:hAnsi="Times New Roman" w:cs="Times New Roman"/>
          <w:color w:val="000000" w:themeColor="text1"/>
        </w:rPr>
        <w:t>,</w:t>
      </w:r>
      <w:r w:rsidR="0022051B" w:rsidRPr="006A2166">
        <w:rPr>
          <w:rFonts w:ascii="Times New Roman" w:hAnsi="Times New Roman" w:cs="Times New Roman"/>
          <w:color w:val="000000" w:themeColor="text1"/>
        </w:rPr>
        <w:t xml:space="preserve"> iv) reconocimiento de que la consulta no se agota con la mera información o difusión pública de la medida, v) la obligación de actuar de buena fe</w:t>
      </w:r>
      <w:r w:rsidR="0025217E" w:rsidRPr="006A2166">
        <w:rPr>
          <w:rFonts w:ascii="Times New Roman" w:hAnsi="Times New Roman" w:cs="Times New Roman"/>
          <w:color w:val="000000" w:themeColor="text1"/>
        </w:rPr>
        <w:t>,</w:t>
      </w:r>
      <w:r w:rsidR="0022051B" w:rsidRPr="006A2166">
        <w:rPr>
          <w:rFonts w:ascii="Times New Roman" w:hAnsi="Times New Roman" w:cs="Times New Roman"/>
          <w:color w:val="000000" w:themeColor="text1"/>
        </w:rPr>
        <w:t xml:space="preserve"> vi) difusión pública</w:t>
      </w:r>
      <w:r w:rsidR="0025217E" w:rsidRPr="006A2166">
        <w:rPr>
          <w:rFonts w:ascii="Times New Roman" w:hAnsi="Times New Roman" w:cs="Times New Roman"/>
          <w:color w:val="000000" w:themeColor="text1"/>
        </w:rPr>
        <w:t>,</w:t>
      </w:r>
      <w:r w:rsidR="0022051B" w:rsidRPr="006A2166">
        <w:rPr>
          <w:rFonts w:ascii="Times New Roman" w:hAnsi="Times New Roman" w:cs="Times New Roman"/>
          <w:color w:val="000000" w:themeColor="text1"/>
        </w:rPr>
        <w:t xml:space="preserve"> vii) definición previa y concertada del procedimiento, ix) definición previa y concertada de los sujetos de la consulta</w:t>
      </w:r>
      <w:r w:rsidR="0025217E" w:rsidRPr="006A2166">
        <w:rPr>
          <w:rFonts w:ascii="Times New Roman" w:hAnsi="Times New Roman" w:cs="Times New Roman"/>
          <w:color w:val="000000" w:themeColor="text1"/>
        </w:rPr>
        <w:t>,</w:t>
      </w:r>
      <w:r w:rsidR="0022051B" w:rsidRPr="006A2166">
        <w:rPr>
          <w:rFonts w:ascii="Times New Roman" w:hAnsi="Times New Roman" w:cs="Times New Roman"/>
          <w:color w:val="000000" w:themeColor="text1"/>
        </w:rPr>
        <w:t xml:space="preserve"> x) respeto </w:t>
      </w:r>
      <w:r w:rsidR="0022051B" w:rsidRPr="006A2166">
        <w:rPr>
          <w:rFonts w:ascii="Times New Roman" w:hAnsi="Times New Roman" w:cs="Times New Roman"/>
          <w:color w:val="000000" w:themeColor="text1"/>
        </w:rPr>
        <w:lastRenderedPageBreak/>
        <w:t>a la estructura social y a los sistemas de autoridad y representaci</w:t>
      </w:r>
      <w:r w:rsidR="0025217E" w:rsidRPr="006A2166">
        <w:rPr>
          <w:rFonts w:ascii="Times New Roman" w:hAnsi="Times New Roman" w:cs="Times New Roman"/>
          <w:color w:val="000000" w:themeColor="text1"/>
        </w:rPr>
        <w:t>ón de los pueblos consultados, x</w:t>
      </w:r>
      <w:r w:rsidR="0022051B" w:rsidRPr="006A2166">
        <w:rPr>
          <w:rFonts w:ascii="Times New Roman" w:hAnsi="Times New Roman" w:cs="Times New Roman"/>
          <w:color w:val="000000" w:themeColor="text1"/>
        </w:rPr>
        <w:t xml:space="preserve">i) carácter </w:t>
      </w:r>
      <w:r w:rsidR="00A455A1" w:rsidRPr="006A2166">
        <w:rPr>
          <w:rFonts w:ascii="Times New Roman" w:hAnsi="Times New Roman" w:cs="Times New Roman"/>
          <w:color w:val="000000" w:themeColor="text1"/>
        </w:rPr>
        <w:t>sistemático</w:t>
      </w:r>
      <w:r w:rsidR="0022051B" w:rsidRPr="006A2166">
        <w:rPr>
          <w:rFonts w:ascii="Times New Roman" w:hAnsi="Times New Roman" w:cs="Times New Roman"/>
          <w:color w:val="000000" w:themeColor="text1"/>
        </w:rPr>
        <w:t xml:space="preserve"> y formalizado de la consulta</w:t>
      </w:r>
      <w:r w:rsidR="0025217E" w:rsidRPr="006A2166">
        <w:rPr>
          <w:rFonts w:ascii="Times New Roman" w:hAnsi="Times New Roman" w:cs="Times New Roman"/>
          <w:color w:val="000000" w:themeColor="text1"/>
        </w:rPr>
        <w:t>,</w:t>
      </w:r>
      <w:r w:rsidR="0022051B" w:rsidRPr="006A2166">
        <w:rPr>
          <w:rFonts w:ascii="Times New Roman" w:hAnsi="Times New Roman" w:cs="Times New Roman"/>
          <w:color w:val="000000" w:themeColor="text1"/>
        </w:rPr>
        <w:t xml:space="preserve"> xii) alcance de la consulta, xiii) efectos del in</w:t>
      </w:r>
      <w:r w:rsidR="0025217E" w:rsidRPr="006A2166">
        <w:rPr>
          <w:rFonts w:ascii="Times New Roman" w:hAnsi="Times New Roman" w:cs="Times New Roman"/>
          <w:color w:val="000000" w:themeColor="text1"/>
        </w:rPr>
        <w:t>cumplimiento de esta obligación</w:t>
      </w:r>
      <w:r w:rsidR="0022051B" w:rsidRPr="006A2166">
        <w:rPr>
          <w:rFonts w:ascii="Times New Roman" w:hAnsi="Times New Roman" w:cs="Times New Roman"/>
          <w:color w:val="000000" w:themeColor="text1"/>
        </w:rPr>
        <w:t xml:space="preserve"> </w:t>
      </w:r>
      <w:r w:rsidR="00AB5DEA" w:rsidRPr="006A2166">
        <w:rPr>
          <w:rFonts w:ascii="Times New Roman" w:hAnsi="Times New Roman" w:cs="Times New Roman"/>
          <w:color w:val="000000" w:themeColor="text1"/>
        </w:rPr>
        <w:t>(</w:t>
      </w:r>
      <w:r w:rsidR="0025217E" w:rsidRPr="006A2166">
        <w:rPr>
          <w:rFonts w:ascii="Times New Roman" w:hAnsi="Times New Roman" w:cs="Times New Roman"/>
          <w:color w:val="000000" w:themeColor="text1"/>
        </w:rPr>
        <w:t>2010</w:t>
      </w:r>
      <w:r w:rsidR="00AB5DEA" w:rsidRPr="006A2166">
        <w:rPr>
          <w:rFonts w:ascii="Times New Roman" w:hAnsi="Times New Roman" w:cs="Times New Roman"/>
          <w:color w:val="000000" w:themeColor="text1"/>
        </w:rPr>
        <w:t>, p</w:t>
      </w:r>
      <w:r w:rsidR="00881902" w:rsidRPr="006A2166">
        <w:rPr>
          <w:rFonts w:ascii="Times New Roman" w:hAnsi="Times New Roman" w:cs="Times New Roman"/>
          <w:color w:val="000000" w:themeColor="text1"/>
        </w:rPr>
        <w:t>p 53-55</w:t>
      </w:r>
      <w:r w:rsidR="00AB5DEA" w:rsidRPr="006A2166">
        <w:rPr>
          <w:rFonts w:ascii="Times New Roman" w:hAnsi="Times New Roman" w:cs="Times New Roman"/>
          <w:color w:val="000000" w:themeColor="text1"/>
        </w:rPr>
        <w:t>)</w:t>
      </w:r>
      <w:r w:rsidR="00881902" w:rsidRPr="006A2166">
        <w:rPr>
          <w:rFonts w:ascii="Times New Roman" w:hAnsi="Times New Roman" w:cs="Times New Roman"/>
          <w:color w:val="000000" w:themeColor="text1"/>
        </w:rPr>
        <w:t>.</w:t>
      </w:r>
    </w:p>
    <w:p w14:paraId="5905B27A" w14:textId="4836883D" w:rsidR="0022051B" w:rsidRPr="006A2166" w:rsidRDefault="0022051B" w:rsidP="0025217E">
      <w:pPr>
        <w:spacing w:line="276" w:lineRule="auto"/>
        <w:jc w:val="both"/>
        <w:rPr>
          <w:rFonts w:ascii="Times New Roman" w:hAnsi="Times New Roman" w:cs="Times New Roman"/>
          <w:color w:val="000000" w:themeColor="text1"/>
        </w:rPr>
      </w:pPr>
    </w:p>
    <w:p w14:paraId="30248D6B" w14:textId="65B984C6" w:rsidR="00A71C8D" w:rsidRPr="006A2166" w:rsidRDefault="00A71C8D" w:rsidP="0025217E">
      <w:pPr>
        <w:widowControl w:val="0"/>
        <w:tabs>
          <w:tab w:val="left" w:pos="7938"/>
        </w:tabs>
        <w:autoSpaceDE w:val="0"/>
        <w:autoSpaceDN w:val="0"/>
        <w:adjustRightInd w:val="0"/>
        <w:spacing w:after="240" w:line="276" w:lineRule="auto"/>
        <w:jc w:val="both"/>
        <w:rPr>
          <w:rFonts w:ascii="Times New Roman" w:hAnsi="Times New Roman" w:cs="Times New Roman"/>
          <w:color w:val="000000" w:themeColor="text1"/>
          <w:lang w:val="es-ES"/>
        </w:rPr>
      </w:pPr>
      <w:r w:rsidRPr="006A2166">
        <w:rPr>
          <w:rFonts w:ascii="Times New Roman" w:hAnsi="Times New Roman" w:cs="Times New Roman"/>
          <w:color w:val="000000" w:themeColor="text1"/>
          <w:lang w:val="es-ES"/>
        </w:rPr>
        <w:t xml:space="preserve">     Como aspecto positivo de la sentencia es que la Corte reguló</w:t>
      </w:r>
      <w:r w:rsidR="003C2724" w:rsidRPr="006A2166">
        <w:rPr>
          <w:rFonts w:ascii="Times New Roman" w:hAnsi="Times New Roman" w:cs="Times New Roman"/>
          <w:color w:val="000000" w:themeColor="text1"/>
          <w:lang w:val="es-ES"/>
        </w:rPr>
        <w:t xml:space="preserve"> parámetros para la realización de una consulta previa y </w:t>
      </w:r>
      <w:r w:rsidR="00A455A1" w:rsidRPr="006A2166">
        <w:rPr>
          <w:rFonts w:ascii="Times New Roman" w:hAnsi="Times New Roman" w:cs="Times New Roman"/>
          <w:color w:val="000000" w:themeColor="text1"/>
          <w:lang w:val="es-ES"/>
        </w:rPr>
        <w:t>pre legislativa</w:t>
      </w:r>
      <w:r w:rsidRPr="006A2166">
        <w:rPr>
          <w:rFonts w:ascii="Times New Roman" w:hAnsi="Times New Roman" w:cs="Times New Roman"/>
          <w:color w:val="000000" w:themeColor="text1"/>
          <w:lang w:val="es-ES"/>
        </w:rPr>
        <w:t xml:space="preserve"> cumpliendo recomendaciones del derecho internacional y como efecto de </w:t>
      </w:r>
      <w:r w:rsidRPr="006A2166">
        <w:rPr>
          <w:rFonts w:ascii="Times New Roman" w:hAnsi="Times New Roman" w:cs="Times New Roman"/>
          <w:i/>
          <w:color w:val="000000" w:themeColor="text1"/>
          <w:lang w:val="es-ES"/>
        </w:rPr>
        <w:t>spillover</w:t>
      </w:r>
      <w:r w:rsidRPr="006A2166">
        <w:rPr>
          <w:rFonts w:ascii="Times New Roman" w:hAnsi="Times New Roman" w:cs="Times New Roman"/>
          <w:color w:val="000000" w:themeColor="text1"/>
          <w:lang w:val="es-ES"/>
        </w:rPr>
        <w:t xml:space="preserve"> se influyó</w:t>
      </w:r>
      <w:r w:rsidR="00AB5DEA" w:rsidRPr="006A2166">
        <w:rPr>
          <w:rFonts w:ascii="Times New Roman" w:hAnsi="Times New Roman" w:cs="Times New Roman"/>
          <w:color w:val="000000" w:themeColor="text1"/>
          <w:lang w:val="es-ES"/>
        </w:rPr>
        <w:t xml:space="preserve"> para</w:t>
      </w:r>
      <w:r w:rsidR="003C2724" w:rsidRPr="006A2166">
        <w:rPr>
          <w:rFonts w:ascii="Times New Roman" w:hAnsi="Times New Roman" w:cs="Times New Roman"/>
          <w:color w:val="000000" w:themeColor="text1"/>
          <w:lang w:val="es-ES"/>
        </w:rPr>
        <w:t xml:space="preserve"> que la Asamblea Nacional emita </w:t>
      </w:r>
      <w:r w:rsidR="00230877" w:rsidRPr="006A2166">
        <w:rPr>
          <w:rFonts w:ascii="Times New Roman" w:hAnsi="Times New Roman" w:cs="Times New Roman"/>
          <w:color w:val="000000" w:themeColor="text1"/>
          <w:lang w:val="es-ES"/>
        </w:rPr>
        <w:t xml:space="preserve">el Instructivo de Aplicación de Consulta </w:t>
      </w:r>
      <w:r w:rsidR="00A455A1" w:rsidRPr="006A2166">
        <w:rPr>
          <w:rFonts w:ascii="Times New Roman" w:hAnsi="Times New Roman" w:cs="Times New Roman"/>
          <w:color w:val="000000" w:themeColor="text1"/>
          <w:lang w:val="es-ES"/>
        </w:rPr>
        <w:t>Pre legislativa</w:t>
      </w:r>
      <w:r w:rsidRPr="006A2166">
        <w:rPr>
          <w:rFonts w:ascii="Times New Roman" w:hAnsi="Times New Roman" w:cs="Times New Roman"/>
          <w:color w:val="000000" w:themeColor="text1"/>
          <w:lang w:val="es-ES"/>
        </w:rPr>
        <w:t>.</w:t>
      </w:r>
    </w:p>
    <w:p w14:paraId="1A8AB04F" w14:textId="4A68047F" w:rsidR="002F7066" w:rsidRPr="006A2166" w:rsidRDefault="00AB5DEA" w:rsidP="002607B5">
      <w:pPr>
        <w:widowControl w:val="0"/>
        <w:tabs>
          <w:tab w:val="left" w:pos="7938"/>
        </w:tabs>
        <w:autoSpaceDE w:val="0"/>
        <w:autoSpaceDN w:val="0"/>
        <w:adjustRightInd w:val="0"/>
        <w:spacing w:after="240" w:line="276" w:lineRule="auto"/>
        <w:jc w:val="both"/>
        <w:rPr>
          <w:rFonts w:ascii="Times New Roman" w:hAnsi="Times New Roman" w:cs="Times New Roman"/>
          <w:color w:val="000000" w:themeColor="text1"/>
          <w:lang w:val="es-ES"/>
        </w:rPr>
      </w:pPr>
      <w:r w:rsidRPr="006A2166">
        <w:rPr>
          <w:rFonts w:ascii="Times New Roman" w:hAnsi="Times New Roman" w:cs="Times New Roman"/>
          <w:color w:val="000000" w:themeColor="text1"/>
          <w:lang w:val="es-ES"/>
        </w:rPr>
        <w:t xml:space="preserve">     </w:t>
      </w:r>
      <w:r w:rsidR="00A71C8D" w:rsidRPr="006A2166">
        <w:rPr>
          <w:rFonts w:ascii="Times New Roman" w:hAnsi="Times New Roman" w:cs="Times New Roman"/>
          <w:color w:val="000000" w:themeColor="text1"/>
          <w:lang w:val="es-ES"/>
        </w:rPr>
        <w:t xml:space="preserve">Empero, como aspecto negativo, la Corte Constitucional no se pronunció sobre </w:t>
      </w:r>
      <w:r w:rsidR="00F97E15" w:rsidRPr="006A2166">
        <w:rPr>
          <w:rFonts w:ascii="Times New Roman" w:hAnsi="Times New Roman" w:cs="Times New Roman"/>
          <w:color w:val="000000" w:themeColor="text1"/>
          <w:lang w:val="es-ES"/>
        </w:rPr>
        <w:t xml:space="preserve">el carácter vinculante de los resultados de la Consulta </w:t>
      </w:r>
      <w:r w:rsidR="00A455A1" w:rsidRPr="006A2166">
        <w:rPr>
          <w:rFonts w:ascii="Times New Roman" w:hAnsi="Times New Roman" w:cs="Times New Roman"/>
          <w:color w:val="000000" w:themeColor="text1"/>
          <w:lang w:val="es-ES"/>
        </w:rPr>
        <w:t>pre legislativa</w:t>
      </w:r>
      <w:r w:rsidR="00F97E15" w:rsidRPr="006A2166">
        <w:rPr>
          <w:rFonts w:ascii="Times New Roman" w:hAnsi="Times New Roman" w:cs="Times New Roman"/>
          <w:color w:val="000000" w:themeColor="text1"/>
          <w:lang w:val="es-ES"/>
        </w:rPr>
        <w:t>, lo cual deviene en una mera formalidad sin que haya obligatoriedad de acoger por parte de los Estados los resultados.</w:t>
      </w:r>
    </w:p>
    <w:p w14:paraId="4F6D83E3" w14:textId="77777777" w:rsidR="00517375" w:rsidRPr="006A2166" w:rsidRDefault="00517375" w:rsidP="0025217E">
      <w:pPr>
        <w:spacing w:line="276" w:lineRule="auto"/>
        <w:jc w:val="both"/>
        <w:rPr>
          <w:rFonts w:ascii="Times New Roman" w:hAnsi="Times New Roman" w:cs="Times New Roman"/>
          <w:b/>
          <w:color w:val="000000" w:themeColor="text1"/>
        </w:rPr>
      </w:pPr>
      <w:r w:rsidRPr="006A2166">
        <w:rPr>
          <w:rFonts w:ascii="Times New Roman" w:hAnsi="Times New Roman" w:cs="Times New Roman"/>
          <w:b/>
          <w:color w:val="000000" w:themeColor="text1"/>
        </w:rPr>
        <w:t xml:space="preserve">Conclusiones </w:t>
      </w:r>
    </w:p>
    <w:p w14:paraId="3769850A" w14:textId="77777777" w:rsidR="00517375" w:rsidRPr="006A2166" w:rsidRDefault="00517375" w:rsidP="0025217E">
      <w:pPr>
        <w:spacing w:line="276" w:lineRule="auto"/>
        <w:jc w:val="both"/>
        <w:rPr>
          <w:rFonts w:ascii="Times New Roman" w:hAnsi="Times New Roman" w:cs="Times New Roman"/>
          <w:color w:val="000000" w:themeColor="text1"/>
        </w:rPr>
      </w:pPr>
    </w:p>
    <w:p w14:paraId="534C2071" w14:textId="2B20EF1D" w:rsidR="00BF62D1" w:rsidRPr="00BF62D1" w:rsidRDefault="00BF62D1" w:rsidP="006A2166">
      <w:pPr>
        <w:pStyle w:val="Prrafodelista"/>
        <w:numPr>
          <w:ilvl w:val="0"/>
          <w:numId w:val="8"/>
        </w:numPr>
        <w:spacing w:line="276" w:lineRule="auto"/>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El derecho internacional (Convenio 169 OIT, la </w:t>
      </w:r>
      <w:r w:rsidRPr="001D0E9D">
        <w:rPr>
          <w:rFonts w:ascii="Times New Roman" w:hAnsi="Times New Roman"/>
        </w:rPr>
        <w:t>Declaración de Naciones Unidas sobre los Derechos de los Pueblos Indígenas</w:t>
      </w:r>
      <w:r>
        <w:rPr>
          <w:rFonts w:ascii="Times New Roman" w:hAnsi="Times New Roman" w:cs="Times New Roman"/>
          <w:color w:val="000000" w:themeColor="text1"/>
          <w:lang w:val="es-ES"/>
        </w:rPr>
        <w:t>) y la Corte Interamericana de Derechos humanos</w:t>
      </w:r>
      <w:r w:rsidR="00B356A9">
        <w:rPr>
          <w:rFonts w:ascii="Times New Roman" w:hAnsi="Times New Roman" w:cs="Times New Roman"/>
          <w:color w:val="000000" w:themeColor="text1"/>
          <w:lang w:val="es-ES"/>
        </w:rPr>
        <w:t xml:space="preserve"> a través de sus sentencias ha</w:t>
      </w:r>
      <w:r>
        <w:rPr>
          <w:rFonts w:ascii="Times New Roman" w:hAnsi="Times New Roman" w:cs="Times New Roman"/>
          <w:color w:val="000000" w:themeColor="text1"/>
          <w:lang w:val="es-ES"/>
        </w:rPr>
        <w:t xml:space="preserve"> garantiza</w:t>
      </w:r>
      <w:r w:rsidR="00B356A9">
        <w:rPr>
          <w:rFonts w:ascii="Times New Roman" w:hAnsi="Times New Roman" w:cs="Times New Roman"/>
          <w:color w:val="000000" w:themeColor="text1"/>
          <w:lang w:val="es-ES"/>
        </w:rPr>
        <w:t>do</w:t>
      </w:r>
      <w:r>
        <w:rPr>
          <w:rFonts w:ascii="Times New Roman" w:hAnsi="Times New Roman" w:cs="Times New Roman"/>
          <w:color w:val="000000" w:themeColor="text1"/>
          <w:lang w:val="es-ES"/>
        </w:rPr>
        <w:t xml:space="preserve"> como derechos colectivos de pueblos y nacionalidades indígenas, el derecho</w:t>
      </w:r>
      <w:r w:rsidR="00BE0967">
        <w:rPr>
          <w:rFonts w:ascii="Times New Roman" w:hAnsi="Times New Roman" w:cs="Times New Roman"/>
          <w:color w:val="000000" w:themeColor="text1"/>
          <w:lang w:val="es-ES"/>
        </w:rPr>
        <w:t xml:space="preserve"> al territorio de estos grupos,</w:t>
      </w:r>
      <w:r>
        <w:rPr>
          <w:rFonts w:ascii="Times New Roman" w:hAnsi="Times New Roman" w:cs="Times New Roman"/>
          <w:color w:val="000000" w:themeColor="text1"/>
          <w:lang w:val="es-ES"/>
        </w:rPr>
        <w:t xml:space="preserve"> el derecho a la consulta pre legislativa</w:t>
      </w:r>
      <w:r w:rsidR="00BE0967">
        <w:rPr>
          <w:rFonts w:ascii="Times New Roman" w:hAnsi="Times New Roman" w:cs="Times New Roman"/>
          <w:color w:val="000000" w:themeColor="text1"/>
          <w:lang w:val="es-ES"/>
        </w:rPr>
        <w:t xml:space="preserve"> y el derecho a la consulta previa, estos dos últimos como un mecanismo intermedio para resguardar los intereses del Estado y el de los colectivos indígenas.</w:t>
      </w:r>
    </w:p>
    <w:p w14:paraId="0B07E37F" w14:textId="77777777" w:rsidR="00B356A9" w:rsidRPr="00B356A9" w:rsidRDefault="00BE0967" w:rsidP="00B356A9">
      <w:pPr>
        <w:pStyle w:val="Prrafodelista"/>
        <w:numPr>
          <w:ilvl w:val="0"/>
          <w:numId w:val="8"/>
        </w:numPr>
        <w:spacing w:line="276" w:lineRule="auto"/>
        <w:jc w:val="both"/>
        <w:rPr>
          <w:rFonts w:ascii="Times New Roman" w:hAnsi="Times New Roman" w:cs="Times New Roman"/>
          <w:color w:val="000000" w:themeColor="text1"/>
          <w:lang w:val="es-ES"/>
        </w:rPr>
      </w:pPr>
      <w:r w:rsidRPr="00B356A9">
        <w:rPr>
          <w:rFonts w:ascii="Times New Roman" w:hAnsi="Times New Roman" w:cs="Times New Roman"/>
          <w:color w:val="000000" w:themeColor="text1"/>
          <w:lang w:val="es-ES"/>
        </w:rPr>
        <w:t>En relación a la sentencia de inconstitucionalidad en contra de la Ley de Minería se considera que esta norma debió ser</w:t>
      </w:r>
      <w:r w:rsidR="004716B0" w:rsidRPr="00B356A9">
        <w:rPr>
          <w:rFonts w:ascii="Times New Roman" w:hAnsi="Times New Roman" w:cs="Times New Roman"/>
          <w:color w:val="000000" w:themeColor="text1"/>
        </w:rPr>
        <w:t xml:space="preserve"> declarada </w:t>
      </w:r>
      <w:r w:rsidR="00517375" w:rsidRPr="00B356A9">
        <w:rPr>
          <w:rFonts w:ascii="Times New Roman" w:hAnsi="Times New Roman" w:cs="Times New Roman"/>
          <w:color w:val="000000" w:themeColor="text1"/>
        </w:rPr>
        <w:t xml:space="preserve">inconstitucional, puesto que no se </w:t>
      </w:r>
      <w:r w:rsidR="006A2166" w:rsidRPr="00B356A9">
        <w:rPr>
          <w:rFonts w:ascii="Times New Roman" w:hAnsi="Times New Roman" w:cs="Times New Roman"/>
          <w:color w:val="000000" w:themeColor="text1"/>
        </w:rPr>
        <w:t xml:space="preserve">realizó la consulta pre legislativa </w:t>
      </w:r>
      <w:r w:rsidRPr="00B356A9">
        <w:rPr>
          <w:rFonts w:ascii="Times New Roman" w:hAnsi="Times New Roman" w:cs="Times New Roman"/>
          <w:color w:val="000000" w:themeColor="text1"/>
        </w:rPr>
        <w:t>a pesar de tener contenidos que afectaban directamente a los pueblos y na</w:t>
      </w:r>
      <w:r w:rsidR="00B356A9" w:rsidRPr="00B356A9">
        <w:rPr>
          <w:rFonts w:ascii="Times New Roman" w:hAnsi="Times New Roman" w:cs="Times New Roman"/>
          <w:color w:val="000000" w:themeColor="text1"/>
        </w:rPr>
        <w:t xml:space="preserve">cionalidades indígenas. </w:t>
      </w:r>
    </w:p>
    <w:p w14:paraId="3AAE0CDA" w14:textId="74E8C0C9" w:rsidR="00B356A9" w:rsidRPr="00B356A9" w:rsidRDefault="00B356A9" w:rsidP="00B356A9">
      <w:pPr>
        <w:pStyle w:val="Prrafodelista"/>
        <w:numPr>
          <w:ilvl w:val="0"/>
          <w:numId w:val="8"/>
        </w:numPr>
        <w:spacing w:line="276" w:lineRule="auto"/>
        <w:jc w:val="both"/>
        <w:rPr>
          <w:rFonts w:ascii="Times New Roman" w:hAnsi="Times New Roman" w:cs="Times New Roman"/>
          <w:color w:val="000000" w:themeColor="text1"/>
          <w:lang w:val="es-ES"/>
        </w:rPr>
      </w:pPr>
      <w:r w:rsidRPr="00B356A9">
        <w:rPr>
          <w:rFonts w:ascii="Times New Roman" w:hAnsi="Times New Roman" w:cs="Times New Roman"/>
          <w:color w:val="000000" w:themeColor="text1"/>
        </w:rPr>
        <w:t xml:space="preserve"> La Corte Constitucional si bien no declara la inconstitucionalidad de la norma, garant</w:t>
      </w:r>
      <w:r>
        <w:rPr>
          <w:rFonts w:ascii="Times New Roman" w:hAnsi="Times New Roman" w:cs="Times New Roman"/>
          <w:color w:val="000000" w:themeColor="text1"/>
        </w:rPr>
        <w:t>izó el derecho de est</w:t>
      </w:r>
      <w:r w:rsidRPr="00B356A9">
        <w:rPr>
          <w:rFonts w:ascii="Times New Roman" w:hAnsi="Times New Roman" w:cs="Times New Roman"/>
          <w:color w:val="000000" w:themeColor="text1"/>
        </w:rPr>
        <w:t>os colectivos</w:t>
      </w:r>
      <w:r w:rsidR="009D4260">
        <w:rPr>
          <w:rFonts w:ascii="Times New Roman" w:hAnsi="Times New Roman" w:cs="Times New Roman"/>
          <w:color w:val="000000" w:themeColor="text1"/>
        </w:rPr>
        <w:t xml:space="preserve"> a sus territorio</w:t>
      </w:r>
      <w:r w:rsidRPr="00B356A9">
        <w:rPr>
          <w:rFonts w:ascii="Times New Roman" w:hAnsi="Times New Roman" w:cs="Times New Roman"/>
          <w:color w:val="000000" w:themeColor="text1"/>
        </w:rPr>
        <w:t xml:space="preserve"> puesto que en la sentencia</w:t>
      </w:r>
      <w:r w:rsidR="00DD7069">
        <w:rPr>
          <w:rFonts w:ascii="Times New Roman" w:hAnsi="Times New Roman" w:cs="Times New Roman"/>
          <w:color w:val="000000" w:themeColor="text1"/>
        </w:rPr>
        <w:t xml:space="preserve"> establece que son vá</w:t>
      </w:r>
      <w:r>
        <w:rPr>
          <w:rFonts w:ascii="Times New Roman" w:hAnsi="Times New Roman" w:cs="Times New Roman"/>
          <w:color w:val="000000" w:themeColor="text1"/>
        </w:rPr>
        <w:t>lidas las disposiciones sobre i)</w:t>
      </w:r>
      <w:r w:rsidRPr="00B356A9">
        <w:rPr>
          <w:rFonts w:ascii="Times New Roman" w:hAnsi="Times New Roman" w:cs="Times New Roman"/>
          <w:color w:val="000000" w:themeColor="text1"/>
        </w:rPr>
        <w:t xml:space="preserve"> declaratoria de u</w:t>
      </w:r>
      <w:r>
        <w:rPr>
          <w:rFonts w:ascii="Times New Roman" w:hAnsi="Times New Roman" w:cs="Times New Roman"/>
          <w:color w:val="000000" w:themeColor="text1"/>
        </w:rPr>
        <w:t>tilidad pública, ii) servidumbre, iii) libertad de prospección, iv) otorgamiento de concesiones mineras, v)</w:t>
      </w:r>
      <w:r w:rsidRPr="00B356A9">
        <w:rPr>
          <w:rFonts w:ascii="Times New Roman" w:hAnsi="Times New Roman" w:cs="Times New Roman"/>
          <w:color w:val="000000" w:themeColor="text1"/>
        </w:rPr>
        <w:t xml:space="preserve"> construcciones e</w:t>
      </w:r>
      <w:r>
        <w:rPr>
          <w:rFonts w:ascii="Times New Roman" w:hAnsi="Times New Roman" w:cs="Times New Roman"/>
          <w:color w:val="000000" w:themeColor="text1"/>
        </w:rPr>
        <w:t xml:space="preserve"> instalaciones complementarias siempre que no se apliquen a los territorios de pueblos y nacionalidades indígenas. </w:t>
      </w:r>
    </w:p>
    <w:p w14:paraId="14F4B0C7" w14:textId="26C2F1C6" w:rsidR="009D4260" w:rsidRPr="009D4260" w:rsidRDefault="009D4260" w:rsidP="009D4260">
      <w:pPr>
        <w:pStyle w:val="Prrafodelista"/>
        <w:numPr>
          <w:ilvl w:val="0"/>
          <w:numId w:val="8"/>
        </w:numPr>
        <w:spacing w:line="276" w:lineRule="auto"/>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La Corte Constitucional garantizó parcialmente los derechos colectivos de estos pueblos puesto que emitió </w:t>
      </w:r>
      <w:r>
        <w:rPr>
          <w:rFonts w:ascii="Times New Roman" w:hAnsi="Times New Roman" w:cs="Times New Roman"/>
          <w:color w:val="000000" w:themeColor="text1"/>
        </w:rPr>
        <w:t>una sentencia aditiva donde estableció procedimientos mínimos que debe cumplir el Estado previo a expedir una norma que afecta a los colectivos, empero la Cort</w:t>
      </w:r>
      <w:r w:rsidR="00DD7069">
        <w:rPr>
          <w:rFonts w:ascii="Times New Roman" w:hAnsi="Times New Roman" w:cs="Times New Roman"/>
          <w:color w:val="000000" w:themeColor="text1"/>
        </w:rPr>
        <w:t>e Constitucional no se pronunció</w:t>
      </w:r>
      <w:r>
        <w:rPr>
          <w:rFonts w:ascii="Times New Roman" w:hAnsi="Times New Roman" w:cs="Times New Roman"/>
          <w:color w:val="000000" w:themeColor="text1"/>
        </w:rPr>
        <w:t xml:space="preserve"> sobr</w:t>
      </w:r>
      <w:r w:rsidR="00080CB5">
        <w:rPr>
          <w:rFonts w:ascii="Times New Roman" w:hAnsi="Times New Roman" w:cs="Times New Roman"/>
          <w:color w:val="000000" w:themeColor="text1"/>
        </w:rPr>
        <w:t>e los resultados de la consulta si son vinculante o no por el Estado o cuando se puede hacer caso omiso al mismo.</w:t>
      </w:r>
    </w:p>
    <w:p w14:paraId="70040784" w14:textId="14981274" w:rsidR="00DD7069" w:rsidRPr="00DD7069" w:rsidRDefault="00BF62D1" w:rsidP="00DD7069">
      <w:pPr>
        <w:pStyle w:val="Prrafodelista"/>
        <w:numPr>
          <w:ilvl w:val="0"/>
          <w:numId w:val="8"/>
        </w:numPr>
        <w:spacing w:line="276" w:lineRule="auto"/>
        <w:jc w:val="both"/>
        <w:rPr>
          <w:rFonts w:ascii="Times New Roman" w:hAnsi="Times New Roman" w:cs="Times New Roman"/>
          <w:color w:val="000000" w:themeColor="text1"/>
        </w:rPr>
      </w:pPr>
      <w:r w:rsidRPr="00DD7069">
        <w:rPr>
          <w:rFonts w:ascii="Times New Roman" w:hAnsi="Times New Roman" w:cs="Times New Roman"/>
          <w:color w:val="000000" w:themeColor="text1"/>
          <w:lang w:val="es-ES"/>
        </w:rPr>
        <w:t xml:space="preserve">La consulta pre legislativa </w:t>
      </w:r>
      <w:r w:rsidR="00DD7069" w:rsidRPr="00DD7069">
        <w:rPr>
          <w:rFonts w:ascii="Times New Roman" w:hAnsi="Times New Roman" w:cs="Times New Roman"/>
          <w:color w:val="000000" w:themeColor="text1"/>
          <w:lang w:val="es-ES"/>
        </w:rPr>
        <w:t xml:space="preserve">en la República de Ecuador </w:t>
      </w:r>
      <w:r w:rsidRPr="00DD7069">
        <w:rPr>
          <w:rFonts w:ascii="Times New Roman" w:hAnsi="Times New Roman" w:cs="Times New Roman"/>
          <w:color w:val="000000" w:themeColor="text1"/>
          <w:lang w:val="es-ES"/>
        </w:rPr>
        <w:t xml:space="preserve">deviene en una formalidad a cumplir por parte del </w:t>
      </w:r>
      <w:r w:rsidR="00DD7069" w:rsidRPr="00DD7069">
        <w:rPr>
          <w:rFonts w:ascii="Times New Roman" w:hAnsi="Times New Roman" w:cs="Times New Roman"/>
          <w:color w:val="000000" w:themeColor="text1"/>
          <w:lang w:val="es-ES"/>
        </w:rPr>
        <w:t xml:space="preserve">Estado, en otras palabras </w:t>
      </w:r>
      <w:r w:rsidRPr="00DD7069">
        <w:rPr>
          <w:rFonts w:ascii="Times New Roman" w:hAnsi="Times New Roman" w:cs="Times New Roman"/>
          <w:color w:val="000000" w:themeColor="text1"/>
          <w:lang w:val="es-ES"/>
        </w:rPr>
        <w:t>se reduce a simples procesos de sociabilización de información</w:t>
      </w:r>
      <w:r w:rsidR="00DD7069">
        <w:rPr>
          <w:rFonts w:ascii="Times New Roman" w:hAnsi="Times New Roman" w:cs="Times New Roman"/>
          <w:color w:val="000000" w:themeColor="text1"/>
          <w:lang w:val="es-ES"/>
        </w:rPr>
        <w:t>. Esta forma de interpretación podría acarrear responsabilidad ulterior del Estado en Cortes Internacionales</w:t>
      </w:r>
      <w:r w:rsidR="003303F6">
        <w:rPr>
          <w:rFonts w:ascii="Times New Roman" w:hAnsi="Times New Roman" w:cs="Times New Roman"/>
          <w:color w:val="000000" w:themeColor="text1"/>
          <w:lang w:val="es-ES"/>
        </w:rPr>
        <w:t>.</w:t>
      </w:r>
    </w:p>
    <w:p w14:paraId="67356008" w14:textId="77777777" w:rsidR="00DD7069" w:rsidRPr="00DD7069" w:rsidRDefault="00DD7069" w:rsidP="00DD7069">
      <w:pPr>
        <w:pStyle w:val="Prrafodelista"/>
        <w:spacing w:line="276" w:lineRule="auto"/>
        <w:jc w:val="both"/>
        <w:rPr>
          <w:rFonts w:ascii="Times New Roman" w:hAnsi="Times New Roman" w:cs="Times New Roman"/>
          <w:color w:val="000000" w:themeColor="text1"/>
        </w:rPr>
      </w:pPr>
    </w:p>
    <w:p w14:paraId="5C5020DD" w14:textId="77777777" w:rsidR="00517375" w:rsidRPr="006A2166" w:rsidRDefault="00517375" w:rsidP="0025217E">
      <w:pPr>
        <w:spacing w:line="276" w:lineRule="auto"/>
        <w:jc w:val="both"/>
        <w:rPr>
          <w:rFonts w:ascii="Times New Roman" w:hAnsi="Times New Roman" w:cs="Times New Roman"/>
          <w:b/>
          <w:color w:val="000000" w:themeColor="text1"/>
        </w:rPr>
      </w:pPr>
      <w:r w:rsidRPr="006A2166">
        <w:rPr>
          <w:rFonts w:ascii="Times New Roman" w:hAnsi="Times New Roman" w:cs="Times New Roman"/>
          <w:b/>
          <w:color w:val="000000" w:themeColor="text1"/>
        </w:rPr>
        <w:lastRenderedPageBreak/>
        <w:t xml:space="preserve">Bibliografía </w:t>
      </w:r>
    </w:p>
    <w:p w14:paraId="0909B892" w14:textId="77777777" w:rsidR="00517375" w:rsidRPr="006A2166" w:rsidRDefault="00517375" w:rsidP="0025217E">
      <w:pPr>
        <w:spacing w:line="276" w:lineRule="auto"/>
        <w:jc w:val="both"/>
        <w:rPr>
          <w:rFonts w:ascii="Times New Roman" w:hAnsi="Times New Roman" w:cs="Times New Roman"/>
          <w:color w:val="000000" w:themeColor="text1"/>
        </w:rPr>
      </w:pPr>
    </w:p>
    <w:p w14:paraId="54FA7D4C" w14:textId="77777777" w:rsidR="00517375" w:rsidRPr="006A2166" w:rsidRDefault="00517375" w:rsidP="0025217E">
      <w:pPr>
        <w:widowControl w:val="0"/>
        <w:tabs>
          <w:tab w:val="left" w:pos="220"/>
          <w:tab w:val="left" w:pos="720"/>
        </w:tabs>
        <w:autoSpaceDE w:val="0"/>
        <w:autoSpaceDN w:val="0"/>
        <w:adjustRightInd w:val="0"/>
        <w:spacing w:after="240" w:line="276" w:lineRule="auto"/>
        <w:jc w:val="both"/>
        <w:rPr>
          <w:rFonts w:ascii="Times New Roman" w:hAnsi="Times New Roman" w:cs="Times New Roman"/>
          <w:color w:val="000000" w:themeColor="text1"/>
          <w:lang w:val="es-ES"/>
        </w:rPr>
      </w:pPr>
      <w:r w:rsidRPr="006A2166">
        <w:rPr>
          <w:rFonts w:ascii="Times New Roman" w:hAnsi="Times New Roman" w:cs="Times New Roman"/>
          <w:color w:val="000000" w:themeColor="text1"/>
          <w:lang w:val="es-ES"/>
        </w:rPr>
        <w:tab/>
      </w:r>
      <w:r w:rsidRPr="006A2166">
        <w:rPr>
          <w:rFonts w:ascii="Times New Roman" w:hAnsi="Times New Roman" w:cs="Times New Roman"/>
          <w:color w:val="000000" w:themeColor="text1"/>
          <w:lang w:val="es-ES"/>
        </w:rPr>
        <w:tab/>
        <w:t xml:space="preserve">Arteaga Aguirre, Catalina (2000), </w:t>
      </w:r>
      <w:r w:rsidRPr="006A2166">
        <w:rPr>
          <w:rFonts w:ascii="Times New Roman" w:hAnsi="Times New Roman" w:cs="Times New Roman"/>
          <w:i/>
          <w:iCs/>
          <w:color w:val="000000" w:themeColor="text1"/>
          <w:lang w:val="es-ES"/>
        </w:rPr>
        <w:t>Modernización agraria y construcción de identidades</w:t>
      </w:r>
      <w:r w:rsidRPr="006A2166">
        <w:rPr>
          <w:rFonts w:ascii="Times New Roman" w:hAnsi="Times New Roman" w:cs="Times New Roman"/>
          <w:color w:val="000000" w:themeColor="text1"/>
          <w:lang w:val="es-ES"/>
        </w:rPr>
        <w:t>, México: Plaza y Valdés, Centro de Estudios para el Desarrollo de la Mujer, Facultad Latinoamericana de Ciencias Sociales.  </w:t>
      </w:r>
    </w:p>
    <w:p w14:paraId="02365682" w14:textId="11F8DB45" w:rsidR="001C1CD6" w:rsidRPr="006A2166" w:rsidRDefault="00517375" w:rsidP="0047403C">
      <w:pPr>
        <w:spacing w:line="276" w:lineRule="auto"/>
        <w:ind w:firstLine="708"/>
        <w:jc w:val="both"/>
        <w:rPr>
          <w:rStyle w:val="Hipervnculo"/>
          <w:rFonts w:ascii="Times New Roman" w:eastAsia="Times New Roman" w:hAnsi="Times New Roman" w:cs="Times New Roman"/>
          <w:color w:val="000000" w:themeColor="text1"/>
          <w:shd w:val="clear" w:color="auto" w:fill="FFFFFF"/>
          <w:lang w:val="es-EC"/>
        </w:rPr>
      </w:pPr>
      <w:r w:rsidRPr="006A2166">
        <w:rPr>
          <w:rFonts w:ascii="Times New Roman" w:eastAsia="Times New Roman" w:hAnsi="Times New Roman" w:cs="Times New Roman"/>
          <w:color w:val="000000" w:themeColor="text1"/>
          <w:shd w:val="clear" w:color="auto" w:fill="FFFFFF"/>
          <w:lang w:val="es-EC"/>
        </w:rPr>
        <w:t>Balbín, C. G. (2011). Consulta previa y su contexto nacional: Un mejor manejo político sobre los recursos naturales*.</w:t>
      </w:r>
      <w:r w:rsidRPr="006A2166">
        <w:rPr>
          <w:rFonts w:ascii="Times New Roman" w:eastAsia="Times New Roman" w:hAnsi="Times New Roman" w:cs="Times New Roman"/>
          <w:i/>
          <w:iCs/>
          <w:color w:val="000000" w:themeColor="text1"/>
          <w:lang w:val="es-EC"/>
        </w:rPr>
        <w:t> Elecciones, 10</w:t>
      </w:r>
      <w:r w:rsidRPr="006A2166">
        <w:rPr>
          <w:rFonts w:ascii="Times New Roman" w:eastAsia="Times New Roman" w:hAnsi="Times New Roman" w:cs="Times New Roman"/>
          <w:color w:val="000000" w:themeColor="text1"/>
          <w:shd w:val="clear" w:color="auto" w:fill="FFFFFF"/>
          <w:lang w:val="es-EC"/>
        </w:rPr>
        <w:t xml:space="preserve">(11), 119-161. </w:t>
      </w:r>
      <w:r w:rsidR="00450260">
        <w:rPr>
          <w:rFonts w:ascii="Times New Roman" w:eastAsia="Times New Roman" w:hAnsi="Times New Roman" w:cs="Times New Roman"/>
          <w:color w:val="000000" w:themeColor="text1"/>
          <w:shd w:val="clear" w:color="auto" w:fill="FFFFFF"/>
          <w:lang w:val="es-EC"/>
        </w:rPr>
        <w:t xml:space="preserve">Recuperado de </w:t>
      </w:r>
      <w:hyperlink r:id="rId8" w:history="1">
        <w:r w:rsidRPr="006A2166">
          <w:rPr>
            <w:rStyle w:val="Hipervnculo"/>
            <w:rFonts w:ascii="Times New Roman" w:eastAsia="Times New Roman" w:hAnsi="Times New Roman" w:cs="Times New Roman"/>
            <w:color w:val="000000" w:themeColor="text1"/>
            <w:shd w:val="clear" w:color="auto" w:fill="FFFFFF"/>
            <w:lang w:val="es-EC"/>
          </w:rPr>
          <w:t>https://se</w:t>
        </w:r>
        <w:r w:rsidR="00001B87" w:rsidRPr="006A2166">
          <w:rPr>
            <w:rStyle w:val="Hipervnculo"/>
            <w:rFonts w:ascii="Times New Roman" w:eastAsia="Times New Roman" w:hAnsi="Times New Roman" w:cs="Times New Roman"/>
            <w:color w:val="000000" w:themeColor="text1"/>
            <w:shd w:val="clear" w:color="auto" w:fill="FFFFFF"/>
            <w:lang w:val="es-EC"/>
          </w:rPr>
          <w:t xml:space="preserve">arch-proquest </w:t>
        </w:r>
        <w:r w:rsidRPr="006A2166">
          <w:rPr>
            <w:rStyle w:val="Hipervnculo"/>
            <w:rFonts w:ascii="Times New Roman" w:eastAsia="Times New Roman" w:hAnsi="Times New Roman" w:cs="Times New Roman"/>
            <w:color w:val="000000" w:themeColor="text1"/>
            <w:shd w:val="clear" w:color="auto" w:fill="FFFFFF"/>
            <w:lang w:val="es-EC"/>
          </w:rPr>
          <w:t>com.bibliotecavirtual.udla.edu.ec/docview/1037808536?accountid=33194</w:t>
        </w:r>
      </w:hyperlink>
    </w:p>
    <w:p w14:paraId="1549E69A" w14:textId="77777777" w:rsidR="002607B5" w:rsidRPr="006A2166" w:rsidRDefault="002607B5" w:rsidP="0047403C">
      <w:pPr>
        <w:spacing w:line="276" w:lineRule="auto"/>
        <w:ind w:firstLine="708"/>
        <w:jc w:val="both"/>
        <w:rPr>
          <w:rFonts w:ascii="Times New Roman" w:hAnsi="Times New Roman" w:cs="Times New Roman"/>
          <w:lang w:val="es-ES"/>
        </w:rPr>
      </w:pPr>
    </w:p>
    <w:p w14:paraId="283DE91B" w14:textId="63942B88" w:rsidR="002607B5" w:rsidRPr="006A2166" w:rsidRDefault="002607B5" w:rsidP="0047403C">
      <w:pPr>
        <w:spacing w:line="276" w:lineRule="auto"/>
        <w:ind w:firstLine="708"/>
        <w:jc w:val="both"/>
        <w:rPr>
          <w:rStyle w:val="Hipervnculo"/>
          <w:rFonts w:ascii="Times New Roman" w:eastAsia="Times New Roman" w:hAnsi="Times New Roman" w:cs="Times New Roman"/>
          <w:color w:val="000000" w:themeColor="text1"/>
          <w:shd w:val="clear" w:color="auto" w:fill="FFFFFF"/>
          <w:lang w:val="es-EC"/>
        </w:rPr>
      </w:pPr>
      <w:r w:rsidRPr="001D0E9D">
        <w:rPr>
          <w:rFonts w:ascii="Times New Roman" w:hAnsi="Times New Roman" w:cs="Times New Roman"/>
          <w:lang w:val="es-ES"/>
        </w:rPr>
        <w:t>Carta de Naciones Unidas</w:t>
      </w:r>
      <w:r w:rsidR="001D0E9D" w:rsidRPr="001D0E9D">
        <w:rPr>
          <w:rFonts w:ascii="Times New Roman" w:hAnsi="Times New Roman" w:cs="Times New Roman"/>
          <w:lang w:val="es-ES"/>
        </w:rPr>
        <w:t>, San Franciso 26 de junio</w:t>
      </w:r>
      <w:r w:rsidRPr="001D0E9D">
        <w:rPr>
          <w:rFonts w:ascii="Times New Roman" w:hAnsi="Times New Roman" w:cs="Times New Roman"/>
          <w:lang w:val="es-ES"/>
        </w:rPr>
        <w:t xml:space="preserve"> de 1945</w:t>
      </w:r>
      <w:r w:rsidR="00450260">
        <w:rPr>
          <w:rFonts w:ascii="Times New Roman" w:hAnsi="Times New Roman" w:cs="Times New Roman"/>
          <w:lang w:val="es-ES"/>
        </w:rPr>
        <w:t xml:space="preserve">. </w:t>
      </w:r>
      <w:r w:rsidR="00450260">
        <w:rPr>
          <w:rFonts w:ascii="Times New Roman" w:eastAsia="Times New Roman" w:hAnsi="Times New Roman" w:cs="Times New Roman"/>
          <w:color w:val="000000" w:themeColor="text1"/>
          <w:shd w:val="clear" w:color="auto" w:fill="FFFFFF"/>
          <w:lang w:val="es-EC"/>
        </w:rPr>
        <w:t>Recuperado de</w:t>
      </w:r>
      <w:r w:rsidR="001D0E9D" w:rsidRPr="00425C0D">
        <w:rPr>
          <w:rFonts w:ascii="Times New Roman" w:hAnsi="Times New Roman" w:cs="Times New Roman"/>
          <w:lang w:val="es-ES"/>
        </w:rPr>
        <w:t>:</w:t>
      </w:r>
      <w:r w:rsidR="001D0E9D">
        <w:rPr>
          <w:rFonts w:ascii="Times New Roman" w:hAnsi="Times New Roman" w:cs="Times New Roman"/>
          <w:lang w:val="es-ES"/>
        </w:rPr>
        <w:t xml:space="preserve"> </w:t>
      </w:r>
      <w:r w:rsidR="001D0E9D" w:rsidRPr="001D0E9D">
        <w:rPr>
          <w:rFonts w:ascii="Times New Roman" w:hAnsi="Times New Roman" w:cs="Times New Roman"/>
          <w:lang w:val="es-ES"/>
        </w:rPr>
        <w:t>https://www.oas.org/36ag/espanol/doc_referencia/Carta_NU.pdf</w:t>
      </w:r>
    </w:p>
    <w:p w14:paraId="09DDB598" w14:textId="3CD6C171" w:rsidR="009C4223" w:rsidRPr="006A2166" w:rsidRDefault="001C1CD6" w:rsidP="0025217E">
      <w:pPr>
        <w:pStyle w:val="NormalWeb"/>
        <w:spacing w:line="276" w:lineRule="auto"/>
        <w:ind w:firstLine="708"/>
        <w:jc w:val="both"/>
        <w:rPr>
          <w:rFonts w:ascii="Times New Roman" w:hAnsi="Times New Roman"/>
          <w:color w:val="000000" w:themeColor="text1"/>
          <w:sz w:val="24"/>
          <w:szCs w:val="24"/>
        </w:rPr>
      </w:pPr>
      <w:r w:rsidRPr="006A2166">
        <w:rPr>
          <w:rFonts w:ascii="Times New Roman" w:hAnsi="Times New Roman"/>
          <w:color w:val="000000" w:themeColor="text1"/>
          <w:sz w:val="24"/>
          <w:szCs w:val="24"/>
        </w:rPr>
        <w:t xml:space="preserve">Constitución de la República del Ecuador. Registro Oficial de la República del Ecuador No. 449, 20 de octubre de 2008. </w:t>
      </w:r>
    </w:p>
    <w:p w14:paraId="67B12A12" w14:textId="0720B23E" w:rsidR="00425C0D" w:rsidRDefault="00425C0D" w:rsidP="001D0E9D">
      <w:pPr>
        <w:widowControl w:val="0"/>
        <w:autoSpaceDE w:val="0"/>
        <w:autoSpaceDN w:val="0"/>
        <w:adjustRightInd w:val="0"/>
        <w:spacing w:line="320" w:lineRule="atLeast"/>
        <w:ind w:firstLine="708"/>
        <w:jc w:val="both"/>
        <w:rPr>
          <w:rFonts w:ascii="Times New Roman" w:hAnsi="Times New Roman" w:cs="Times New Roman"/>
          <w:lang w:val="es-ES"/>
        </w:rPr>
      </w:pPr>
      <w:r w:rsidRPr="00425C0D">
        <w:rPr>
          <w:rFonts w:ascii="Times New Roman" w:hAnsi="Times New Roman" w:cs="Times New Roman"/>
          <w:lang w:val="es-ES"/>
        </w:rPr>
        <w:t>Convenio 107 de la Organización Internacional, Ginebra 26 junio 1957</w:t>
      </w:r>
      <w:r w:rsidR="00450260">
        <w:rPr>
          <w:rFonts w:ascii="Times New Roman" w:hAnsi="Times New Roman" w:cs="Times New Roman"/>
          <w:lang w:val="es-ES"/>
        </w:rPr>
        <w:t xml:space="preserve">. </w:t>
      </w:r>
      <w:r w:rsidR="00450260">
        <w:rPr>
          <w:rFonts w:ascii="Times New Roman" w:eastAsia="Times New Roman" w:hAnsi="Times New Roman" w:cs="Times New Roman"/>
          <w:color w:val="000000" w:themeColor="text1"/>
          <w:shd w:val="clear" w:color="auto" w:fill="FFFFFF"/>
          <w:lang w:val="es-EC"/>
        </w:rPr>
        <w:t>Recuperado de</w:t>
      </w:r>
      <w:r w:rsidRPr="00425C0D">
        <w:rPr>
          <w:rFonts w:ascii="Times New Roman" w:hAnsi="Times New Roman" w:cs="Times New Roman"/>
          <w:lang w:val="es-ES"/>
        </w:rPr>
        <w:t>:</w:t>
      </w:r>
      <w:r>
        <w:rPr>
          <w:rFonts w:ascii="Times New Roman" w:hAnsi="Times New Roman" w:cs="Times New Roman"/>
          <w:lang w:val="es-ES"/>
        </w:rPr>
        <w:t xml:space="preserve"> </w:t>
      </w:r>
    </w:p>
    <w:p w14:paraId="16211C21" w14:textId="12A7E828" w:rsidR="00425C0D" w:rsidRPr="00425C0D" w:rsidRDefault="00425C0D" w:rsidP="001D0E9D">
      <w:pPr>
        <w:widowControl w:val="0"/>
        <w:autoSpaceDE w:val="0"/>
        <w:autoSpaceDN w:val="0"/>
        <w:adjustRightInd w:val="0"/>
        <w:spacing w:line="320" w:lineRule="atLeast"/>
        <w:jc w:val="both"/>
        <w:rPr>
          <w:rFonts w:ascii="Times New Roman" w:hAnsi="Times New Roman" w:cs="Times New Roman"/>
          <w:lang w:val="es-ES"/>
        </w:rPr>
      </w:pPr>
      <w:r w:rsidRPr="00425C0D">
        <w:rPr>
          <w:rFonts w:ascii="Times New Roman" w:hAnsi="Times New Roman" w:cs="Times New Roman"/>
          <w:lang w:val="es-ES"/>
        </w:rPr>
        <w:t>http://www.ilo.org/dyn/normlex/es/f?p=NORMLEXPUB:12100:0::NO::P12100_ILO_CODE:C107</w:t>
      </w:r>
    </w:p>
    <w:p w14:paraId="0F40CF25" w14:textId="77777777" w:rsidR="00425C0D" w:rsidRPr="00425C0D" w:rsidRDefault="00425C0D" w:rsidP="00425C0D">
      <w:pPr>
        <w:widowControl w:val="0"/>
        <w:autoSpaceDE w:val="0"/>
        <w:autoSpaceDN w:val="0"/>
        <w:adjustRightInd w:val="0"/>
        <w:spacing w:line="320" w:lineRule="atLeast"/>
        <w:jc w:val="both"/>
        <w:rPr>
          <w:rFonts w:ascii="Times New Roman" w:hAnsi="Times New Roman" w:cs="Times New Roman"/>
          <w:lang w:val="es-ES"/>
        </w:rPr>
      </w:pPr>
    </w:p>
    <w:p w14:paraId="6CF07E6B" w14:textId="045837EB" w:rsidR="00425C0D" w:rsidRDefault="00425C0D" w:rsidP="00425C0D">
      <w:pPr>
        <w:widowControl w:val="0"/>
        <w:autoSpaceDE w:val="0"/>
        <w:autoSpaceDN w:val="0"/>
        <w:adjustRightInd w:val="0"/>
        <w:spacing w:line="320" w:lineRule="atLeast"/>
        <w:ind w:firstLine="708"/>
        <w:jc w:val="both"/>
        <w:rPr>
          <w:rFonts w:ascii="Times New Roman" w:hAnsi="Times New Roman" w:cs="Times New Roman"/>
          <w:lang w:val="es-ES"/>
        </w:rPr>
      </w:pPr>
      <w:r w:rsidRPr="00425C0D">
        <w:rPr>
          <w:rFonts w:ascii="Times New Roman" w:hAnsi="Times New Roman" w:cs="Times New Roman"/>
          <w:lang w:val="es-ES"/>
        </w:rPr>
        <w:t>Convenio 169 de la OIT sobre pueblos indígenas y tribales, Ginebra, 27 junio 1989</w:t>
      </w:r>
      <w:r w:rsidR="00450260">
        <w:rPr>
          <w:rFonts w:ascii="Times New Roman" w:hAnsi="Times New Roman" w:cs="Times New Roman"/>
          <w:lang w:val="es-ES"/>
        </w:rPr>
        <w:t>.</w:t>
      </w:r>
      <w:r w:rsidR="00450260" w:rsidRPr="00450260">
        <w:rPr>
          <w:rFonts w:ascii="Times New Roman" w:eastAsia="Times New Roman" w:hAnsi="Times New Roman" w:cs="Times New Roman"/>
          <w:color w:val="000000" w:themeColor="text1"/>
          <w:shd w:val="clear" w:color="auto" w:fill="FFFFFF"/>
          <w:lang w:val="es-EC"/>
        </w:rPr>
        <w:t xml:space="preserve"> </w:t>
      </w:r>
      <w:r w:rsidR="00450260">
        <w:rPr>
          <w:rFonts w:ascii="Times New Roman" w:eastAsia="Times New Roman" w:hAnsi="Times New Roman" w:cs="Times New Roman"/>
          <w:color w:val="000000" w:themeColor="text1"/>
          <w:shd w:val="clear" w:color="auto" w:fill="FFFFFF"/>
          <w:lang w:val="es-EC"/>
        </w:rPr>
        <w:t>Recuperado de:</w:t>
      </w:r>
      <w:r>
        <w:rPr>
          <w:rFonts w:ascii="Times New Roman" w:hAnsi="Times New Roman" w:cs="Times New Roman"/>
          <w:lang w:val="es-ES"/>
        </w:rPr>
        <w:t>:</w:t>
      </w:r>
      <w:r w:rsidRPr="00425C0D">
        <w:rPr>
          <w:rFonts w:ascii="Times New Roman" w:hAnsi="Times New Roman" w:cs="Times New Roman"/>
          <w:lang w:val="es-ES"/>
        </w:rPr>
        <w:t xml:space="preserve"> </w:t>
      </w:r>
    </w:p>
    <w:p w14:paraId="445777E9" w14:textId="612ED13F" w:rsidR="00425C0D" w:rsidRPr="00425C0D" w:rsidRDefault="00425C0D" w:rsidP="00425C0D">
      <w:pPr>
        <w:widowControl w:val="0"/>
        <w:autoSpaceDE w:val="0"/>
        <w:autoSpaceDN w:val="0"/>
        <w:adjustRightInd w:val="0"/>
        <w:spacing w:line="320" w:lineRule="atLeast"/>
        <w:jc w:val="both"/>
        <w:rPr>
          <w:rFonts w:ascii="Times New Roman" w:hAnsi="Times New Roman" w:cs="Times New Roman"/>
          <w:lang w:val="es-ES"/>
        </w:rPr>
      </w:pPr>
      <w:r w:rsidRPr="00425C0D">
        <w:rPr>
          <w:rFonts w:ascii="Times New Roman" w:hAnsi="Times New Roman" w:cs="Times New Roman"/>
          <w:lang w:val="es-ES"/>
        </w:rPr>
        <w:t>https://www.ilo.org/dyn/normlex/es/f?p=NORMLEXPUB:12100:0::NO::P12100_INSTRUMENT_ID:312314</w:t>
      </w:r>
    </w:p>
    <w:p w14:paraId="76E033AD" w14:textId="77777777" w:rsidR="002607B5" w:rsidRPr="006A2166" w:rsidRDefault="002607B5" w:rsidP="002607B5">
      <w:pPr>
        <w:widowControl w:val="0"/>
        <w:autoSpaceDE w:val="0"/>
        <w:autoSpaceDN w:val="0"/>
        <w:adjustRightInd w:val="0"/>
        <w:spacing w:line="320" w:lineRule="atLeast"/>
        <w:rPr>
          <w:rFonts w:ascii="Times New Roman" w:hAnsi="Times New Roman" w:cs="Times New Roman"/>
          <w:lang w:val="es-ES"/>
        </w:rPr>
      </w:pPr>
    </w:p>
    <w:p w14:paraId="14720D8A" w14:textId="77777777" w:rsidR="00ED77BA" w:rsidRPr="006A2166" w:rsidRDefault="00ED77BA" w:rsidP="0025217E">
      <w:pPr>
        <w:widowControl w:val="0"/>
        <w:autoSpaceDE w:val="0"/>
        <w:autoSpaceDN w:val="0"/>
        <w:adjustRightInd w:val="0"/>
        <w:spacing w:after="240" w:line="276" w:lineRule="auto"/>
        <w:ind w:firstLine="708"/>
        <w:jc w:val="both"/>
        <w:rPr>
          <w:rFonts w:ascii="Times New Roman" w:hAnsi="Times New Roman" w:cs="Times New Roman"/>
          <w:color w:val="000000" w:themeColor="text1"/>
          <w:lang w:val="es-ES"/>
        </w:rPr>
      </w:pPr>
      <w:r w:rsidRPr="006A2166">
        <w:rPr>
          <w:rFonts w:ascii="Times New Roman" w:hAnsi="Times New Roman" w:cs="Times New Roman"/>
          <w:color w:val="000000" w:themeColor="text1"/>
          <w:lang w:val="es-ES"/>
        </w:rPr>
        <w:t xml:space="preserve">Corte IDH, </w:t>
      </w:r>
      <w:r w:rsidRPr="006A2166">
        <w:rPr>
          <w:rFonts w:ascii="Times New Roman" w:hAnsi="Times New Roman" w:cs="Times New Roman"/>
          <w:i/>
          <w:iCs/>
          <w:color w:val="000000" w:themeColor="text1"/>
          <w:lang w:val="es-ES"/>
        </w:rPr>
        <w:t>Caso Pueblo Indígena Kichwa de Sarayaku vs. Ecuador</w:t>
      </w:r>
      <w:r w:rsidRPr="006A2166">
        <w:rPr>
          <w:rFonts w:ascii="Times New Roman" w:hAnsi="Times New Roman" w:cs="Times New Roman"/>
          <w:color w:val="000000" w:themeColor="text1"/>
          <w:lang w:val="es-ES"/>
        </w:rPr>
        <w:t>. Fondo y reparaciones. Sentencia de 27 de junio de 2012. Serie C No. 245, párr. 164. </w:t>
      </w:r>
    </w:p>
    <w:p w14:paraId="276AA79A" w14:textId="5FAA1A83" w:rsidR="00517375" w:rsidRPr="006A2166" w:rsidRDefault="00ED77BA" w:rsidP="0025217E">
      <w:pPr>
        <w:widowControl w:val="0"/>
        <w:autoSpaceDE w:val="0"/>
        <w:autoSpaceDN w:val="0"/>
        <w:adjustRightInd w:val="0"/>
        <w:spacing w:after="240" w:line="276" w:lineRule="auto"/>
        <w:ind w:firstLine="708"/>
        <w:jc w:val="both"/>
        <w:rPr>
          <w:rFonts w:ascii="Times New Roman" w:hAnsi="Times New Roman" w:cs="Times New Roman"/>
          <w:color w:val="000000" w:themeColor="text1"/>
          <w:lang w:val="es-ES"/>
        </w:rPr>
      </w:pPr>
      <w:r w:rsidRPr="006A2166">
        <w:rPr>
          <w:rFonts w:ascii="Times New Roman" w:hAnsi="Times New Roman" w:cs="Times New Roman"/>
          <w:color w:val="000000" w:themeColor="text1"/>
          <w:lang w:val="es-ES"/>
        </w:rPr>
        <w:t xml:space="preserve">Corte IDH. </w:t>
      </w:r>
      <w:r w:rsidRPr="006A2166">
        <w:rPr>
          <w:rFonts w:ascii="Times New Roman" w:hAnsi="Times New Roman" w:cs="Times New Roman"/>
          <w:i/>
          <w:iCs/>
          <w:color w:val="000000" w:themeColor="text1"/>
          <w:lang w:val="es-ES"/>
        </w:rPr>
        <w:t>Caso del Pueblo Saramaka Vs. Surinam</w:t>
      </w:r>
      <w:r w:rsidRPr="006A2166">
        <w:rPr>
          <w:rFonts w:ascii="Times New Roman" w:hAnsi="Times New Roman" w:cs="Times New Roman"/>
          <w:color w:val="000000" w:themeColor="text1"/>
          <w:lang w:val="es-ES"/>
        </w:rPr>
        <w:t xml:space="preserve">. Excepciones Preliminares, Fondo, Reparaciones y Costas. Sentencia de 28 de noviembre de 2007. Serie C No. 172, </w:t>
      </w:r>
      <w:r w:rsidRPr="006A2166">
        <w:rPr>
          <w:rFonts w:ascii="Times New Roman" w:hAnsi="Times New Roman" w:cs="Times New Roman"/>
          <w:color w:val="000000" w:themeColor="text1"/>
        </w:rPr>
        <w:t>párr 120</w:t>
      </w:r>
      <w:r w:rsidRPr="006A2166">
        <w:rPr>
          <w:rFonts w:ascii="Times New Roman" w:hAnsi="Times New Roman" w:cs="Times New Roman"/>
          <w:color w:val="000000" w:themeColor="text1"/>
          <w:lang w:val="es-ES"/>
        </w:rPr>
        <w:t> </w:t>
      </w:r>
    </w:p>
    <w:p w14:paraId="528A781A" w14:textId="77777777" w:rsidR="00C962A0" w:rsidRPr="006A2166" w:rsidRDefault="00C962A0" w:rsidP="0025217E">
      <w:pPr>
        <w:widowControl w:val="0"/>
        <w:autoSpaceDE w:val="0"/>
        <w:autoSpaceDN w:val="0"/>
        <w:adjustRightInd w:val="0"/>
        <w:spacing w:after="240" w:line="276" w:lineRule="auto"/>
        <w:ind w:firstLine="708"/>
        <w:jc w:val="both"/>
        <w:rPr>
          <w:rFonts w:ascii="Times New Roman" w:hAnsi="Times New Roman" w:cs="Times New Roman"/>
          <w:color w:val="000000" w:themeColor="text1"/>
          <w:lang w:val="es-ES"/>
        </w:rPr>
      </w:pPr>
      <w:r w:rsidRPr="006A2166">
        <w:rPr>
          <w:rFonts w:ascii="Times New Roman" w:hAnsi="Times New Roman" w:cs="Times New Roman"/>
          <w:color w:val="000000" w:themeColor="text1"/>
          <w:lang w:val="es-ES"/>
        </w:rPr>
        <w:t xml:space="preserve">Corte IDH. </w:t>
      </w:r>
      <w:r w:rsidRPr="006A2166">
        <w:rPr>
          <w:rFonts w:ascii="Times New Roman" w:hAnsi="Times New Roman" w:cs="Times New Roman"/>
          <w:i/>
          <w:iCs/>
          <w:color w:val="000000" w:themeColor="text1"/>
          <w:lang w:val="es-ES"/>
        </w:rPr>
        <w:t>Caso Comunidad Indígena Sawhoyamaxa Vs. Paraguay</w:t>
      </w:r>
      <w:r w:rsidRPr="006A2166">
        <w:rPr>
          <w:rFonts w:ascii="Times New Roman" w:hAnsi="Times New Roman" w:cs="Times New Roman"/>
          <w:color w:val="000000" w:themeColor="text1"/>
          <w:lang w:val="es-ES"/>
        </w:rPr>
        <w:t>. Fondo, Reparaciones y Costas. Sentencia de 29 de marzo de 2006. Serie C No. 146, párr. 118. </w:t>
      </w:r>
    </w:p>
    <w:p w14:paraId="1C83BD3C" w14:textId="2734D5F8" w:rsidR="00247F46" w:rsidRPr="006A2166" w:rsidRDefault="00247F46" w:rsidP="0025217E">
      <w:pPr>
        <w:widowControl w:val="0"/>
        <w:autoSpaceDE w:val="0"/>
        <w:autoSpaceDN w:val="0"/>
        <w:adjustRightInd w:val="0"/>
        <w:spacing w:after="240" w:line="276" w:lineRule="auto"/>
        <w:ind w:firstLine="708"/>
        <w:jc w:val="both"/>
        <w:rPr>
          <w:rFonts w:ascii="Times New Roman" w:hAnsi="Times New Roman" w:cs="Times New Roman"/>
          <w:color w:val="000000" w:themeColor="text1"/>
          <w:lang w:val="es-ES"/>
        </w:rPr>
      </w:pPr>
      <w:r w:rsidRPr="006A2166">
        <w:rPr>
          <w:rFonts w:ascii="Times New Roman" w:hAnsi="Times New Roman" w:cs="Times New Roman"/>
          <w:color w:val="000000" w:themeColor="text1"/>
          <w:lang w:val="es-ES"/>
        </w:rPr>
        <w:t xml:space="preserve">Corte IDH. </w:t>
      </w:r>
      <w:r w:rsidRPr="006A2166">
        <w:rPr>
          <w:rFonts w:ascii="Times New Roman" w:hAnsi="Times New Roman" w:cs="Times New Roman"/>
          <w:i/>
          <w:iCs/>
          <w:color w:val="000000" w:themeColor="text1"/>
          <w:lang w:val="es-ES"/>
        </w:rPr>
        <w:t>Caso de la Comunidad Mayagna (Sumo) Awas Tingni Vs. Nicaragua</w:t>
      </w:r>
      <w:r w:rsidRPr="006A2166">
        <w:rPr>
          <w:rFonts w:ascii="Times New Roman" w:hAnsi="Times New Roman" w:cs="Times New Roman"/>
          <w:color w:val="000000" w:themeColor="text1"/>
          <w:lang w:val="es-ES"/>
        </w:rPr>
        <w:t>. Fondo, Reparaciones y Costas. Sentencia de 31 de agosto de 2001. Serie C No. 79. Párr. 148. </w:t>
      </w:r>
    </w:p>
    <w:p w14:paraId="667CDF4D" w14:textId="401A5BBE" w:rsidR="002607B5" w:rsidRPr="006A2166" w:rsidRDefault="002607B5" w:rsidP="0025217E">
      <w:pPr>
        <w:widowControl w:val="0"/>
        <w:autoSpaceDE w:val="0"/>
        <w:autoSpaceDN w:val="0"/>
        <w:adjustRightInd w:val="0"/>
        <w:spacing w:after="240" w:line="276" w:lineRule="auto"/>
        <w:ind w:firstLine="708"/>
        <w:jc w:val="both"/>
        <w:rPr>
          <w:rFonts w:ascii="Times New Roman" w:hAnsi="Times New Roman" w:cs="Times New Roman"/>
          <w:lang w:val="es-ES"/>
        </w:rPr>
      </w:pPr>
      <w:r w:rsidRPr="006A2166">
        <w:rPr>
          <w:rFonts w:ascii="Times New Roman" w:hAnsi="Times New Roman" w:cs="Times New Roman"/>
          <w:color w:val="000000" w:themeColor="text1"/>
          <w:lang w:val="es-ES"/>
        </w:rPr>
        <w:t xml:space="preserve">Corte IDH, Caso de la Comunidad </w:t>
      </w:r>
      <w:r w:rsidRPr="001D0E9D">
        <w:rPr>
          <w:rFonts w:ascii="Times New Roman" w:hAnsi="Times New Roman" w:cs="Times New Roman"/>
          <w:lang w:val="es-ES"/>
        </w:rPr>
        <w:t>Yayke Aza vs Paraguay</w:t>
      </w:r>
      <w:r w:rsidRPr="006A2166">
        <w:rPr>
          <w:rFonts w:ascii="Times New Roman" w:hAnsi="Times New Roman" w:cs="Times New Roman"/>
          <w:lang w:val="es-ES"/>
        </w:rPr>
        <w:t>.</w:t>
      </w:r>
      <w:r w:rsidR="001D0E9D" w:rsidRPr="001D0E9D">
        <w:rPr>
          <w:rFonts w:ascii="Times New Roman" w:hAnsi="Times New Roman" w:cs="Times New Roman"/>
          <w:color w:val="000000" w:themeColor="text1"/>
          <w:lang w:val="es-ES"/>
        </w:rPr>
        <w:t xml:space="preserve"> </w:t>
      </w:r>
      <w:r w:rsidR="001D0E9D" w:rsidRPr="006A2166">
        <w:rPr>
          <w:rFonts w:ascii="Times New Roman" w:hAnsi="Times New Roman" w:cs="Times New Roman"/>
          <w:color w:val="000000" w:themeColor="text1"/>
          <w:lang w:val="es-ES"/>
        </w:rPr>
        <w:t>Fondo, Repara</w:t>
      </w:r>
      <w:r w:rsidR="001D0E9D">
        <w:rPr>
          <w:rFonts w:ascii="Times New Roman" w:hAnsi="Times New Roman" w:cs="Times New Roman"/>
          <w:color w:val="000000" w:themeColor="text1"/>
          <w:lang w:val="es-ES"/>
        </w:rPr>
        <w:t xml:space="preserve">ciones y Costas. Sentencia de 17 de junio </w:t>
      </w:r>
      <w:r w:rsidR="001D0E9D" w:rsidRPr="006A2166">
        <w:rPr>
          <w:rFonts w:ascii="Times New Roman" w:hAnsi="Times New Roman" w:cs="Times New Roman"/>
          <w:color w:val="000000" w:themeColor="text1"/>
          <w:lang w:val="es-ES"/>
        </w:rPr>
        <w:t>de 200</w:t>
      </w:r>
      <w:r w:rsidR="001D0E9D">
        <w:rPr>
          <w:rFonts w:ascii="Times New Roman" w:hAnsi="Times New Roman" w:cs="Times New Roman"/>
          <w:color w:val="000000" w:themeColor="text1"/>
          <w:lang w:val="es-ES"/>
        </w:rPr>
        <w:t xml:space="preserve">5, </w:t>
      </w:r>
      <w:r w:rsidR="001D0E9D" w:rsidRPr="006A2166">
        <w:rPr>
          <w:rFonts w:ascii="Times New Roman" w:hAnsi="Times New Roman"/>
          <w:color w:val="000000" w:themeColor="text1"/>
        </w:rPr>
        <w:t>párra 135</w:t>
      </w:r>
      <w:r w:rsidR="001D0E9D">
        <w:rPr>
          <w:rFonts w:ascii="Times New Roman" w:hAnsi="Times New Roman"/>
          <w:color w:val="000000" w:themeColor="text1"/>
        </w:rPr>
        <w:t>.</w:t>
      </w:r>
    </w:p>
    <w:p w14:paraId="39FDB755" w14:textId="4402D132" w:rsidR="002607B5" w:rsidRPr="001D0E9D" w:rsidRDefault="002607B5" w:rsidP="001D0E9D">
      <w:pPr>
        <w:pStyle w:val="NormalWeb"/>
        <w:ind w:firstLine="708"/>
        <w:jc w:val="both"/>
        <w:rPr>
          <w:rFonts w:ascii="Times New Roman" w:hAnsi="Times New Roman"/>
          <w:sz w:val="24"/>
          <w:szCs w:val="24"/>
        </w:rPr>
      </w:pPr>
      <w:r w:rsidRPr="001D0E9D">
        <w:rPr>
          <w:rFonts w:ascii="Times New Roman" w:hAnsi="Times New Roman"/>
          <w:sz w:val="24"/>
          <w:szCs w:val="24"/>
        </w:rPr>
        <w:lastRenderedPageBreak/>
        <w:t>Declaración de Naciones Unidas sobre los Derechos de los Pueblos Indígenas</w:t>
      </w:r>
      <w:r w:rsidR="001D0E9D" w:rsidRPr="001D0E9D">
        <w:rPr>
          <w:rFonts w:ascii="Times New Roman" w:hAnsi="Times New Roman"/>
          <w:sz w:val="24"/>
          <w:szCs w:val="24"/>
        </w:rPr>
        <w:t xml:space="preserve">, </w:t>
      </w:r>
      <w:r w:rsidR="001D0E9D" w:rsidRPr="001D0E9D">
        <w:rPr>
          <w:rFonts w:ascii="Times New Roman" w:hAnsi="Times New Roman"/>
          <w:i/>
          <w:iCs/>
          <w:sz w:val="24"/>
          <w:szCs w:val="24"/>
        </w:rPr>
        <w:t>13 de septiembre de 2007 disponible en:</w:t>
      </w:r>
      <w:r w:rsidR="001D0E9D" w:rsidRPr="001D0E9D">
        <w:rPr>
          <w:rFonts w:ascii="Times New Roman" w:hAnsi="Times New Roman"/>
          <w:sz w:val="24"/>
          <w:szCs w:val="24"/>
        </w:rPr>
        <w:t xml:space="preserve"> </w:t>
      </w:r>
      <w:r w:rsidR="001D0E9D" w:rsidRPr="001D0E9D">
        <w:rPr>
          <w:rFonts w:ascii="Times New Roman" w:hAnsi="Times New Roman"/>
          <w:i/>
          <w:iCs/>
          <w:sz w:val="24"/>
          <w:szCs w:val="24"/>
        </w:rPr>
        <w:t>http://www.un.org/esa/socdev/unpfii/documents/DRIPS_es.pdf</w:t>
      </w:r>
    </w:p>
    <w:p w14:paraId="41AC751E" w14:textId="77777777" w:rsidR="00517375" w:rsidRPr="006A2166" w:rsidRDefault="00517375" w:rsidP="0025217E">
      <w:pPr>
        <w:spacing w:line="276" w:lineRule="auto"/>
        <w:ind w:firstLine="708"/>
        <w:jc w:val="both"/>
        <w:rPr>
          <w:rFonts w:ascii="Times New Roman" w:eastAsia="Times New Roman" w:hAnsi="Times New Roman" w:cs="Times New Roman"/>
          <w:color w:val="000000" w:themeColor="text1"/>
          <w:lang w:val="es-EC"/>
        </w:rPr>
      </w:pPr>
      <w:r w:rsidRPr="006A2166">
        <w:rPr>
          <w:rFonts w:ascii="Times New Roman" w:eastAsia="Times New Roman" w:hAnsi="Times New Roman" w:cs="Times New Roman"/>
          <w:color w:val="000000" w:themeColor="text1"/>
          <w:shd w:val="clear" w:color="auto" w:fill="FFFFFF"/>
          <w:lang w:val="es-EC"/>
        </w:rPr>
        <w:t>Ludescher, M. (2014). </w:t>
      </w:r>
      <w:r w:rsidRPr="006A2166">
        <w:rPr>
          <w:rFonts w:ascii="Times New Roman" w:eastAsia="Times New Roman" w:hAnsi="Times New Roman" w:cs="Times New Roman"/>
          <w:i/>
          <w:iCs/>
          <w:color w:val="000000" w:themeColor="text1"/>
          <w:shd w:val="clear" w:color="auto" w:fill="FFFFFF"/>
          <w:lang w:val="es-EC"/>
        </w:rPr>
        <w:t>Tierras y territorios indígenas en américa latina : un estudio de los casos de bolivia, ecuador y perú</w:t>
      </w:r>
      <w:r w:rsidRPr="006A2166">
        <w:rPr>
          <w:rFonts w:ascii="Times New Roman" w:eastAsia="Times New Roman" w:hAnsi="Times New Roman" w:cs="Times New Roman"/>
          <w:color w:val="000000" w:themeColor="text1"/>
          <w:shd w:val="clear" w:color="auto" w:fill="FFFFFF"/>
          <w:lang w:val="es-EC"/>
        </w:rPr>
        <w:t>. Retrieved from https://ebookcentral.proquest.com</w:t>
      </w:r>
    </w:p>
    <w:p w14:paraId="1015E641" w14:textId="77777777" w:rsidR="00517375" w:rsidRPr="006A2166" w:rsidRDefault="00517375" w:rsidP="0025217E">
      <w:pPr>
        <w:spacing w:line="276" w:lineRule="auto"/>
        <w:jc w:val="both"/>
        <w:rPr>
          <w:rFonts w:ascii="Times New Roman" w:hAnsi="Times New Roman" w:cs="Times New Roman"/>
          <w:color w:val="000000" w:themeColor="text1"/>
        </w:rPr>
      </w:pPr>
    </w:p>
    <w:p w14:paraId="332F03BC" w14:textId="788B495F" w:rsidR="00517375" w:rsidRPr="006A2166" w:rsidRDefault="00517375" w:rsidP="0025217E">
      <w:pPr>
        <w:spacing w:line="276" w:lineRule="auto"/>
        <w:ind w:firstLine="708"/>
        <w:jc w:val="both"/>
        <w:rPr>
          <w:rFonts w:ascii="Times New Roman" w:eastAsia="Times New Roman" w:hAnsi="Times New Roman" w:cs="Times New Roman"/>
          <w:color w:val="000000" w:themeColor="text1"/>
          <w:lang w:val="es-EC"/>
        </w:rPr>
      </w:pPr>
      <w:r w:rsidRPr="006A2166">
        <w:rPr>
          <w:rFonts w:ascii="Times New Roman" w:eastAsia="Times New Roman" w:hAnsi="Times New Roman" w:cs="Times New Roman"/>
          <w:color w:val="000000" w:themeColor="text1"/>
          <w:shd w:val="clear" w:color="auto" w:fill="FFFFFF"/>
          <w:lang w:val="es-EC"/>
        </w:rPr>
        <w:t>Machuca, S. L. (2014). Análisis de la sentencia n.o 001-10-SIN-CC. casos n.o 0008-09-IN y 0011-09-IN sobre acción de inconstitucionalidad en contra de la ley de minería y efectos posteriores.</w:t>
      </w:r>
      <w:r w:rsidRPr="006A2166">
        <w:rPr>
          <w:rFonts w:ascii="Times New Roman" w:eastAsia="Times New Roman" w:hAnsi="Times New Roman" w:cs="Times New Roman"/>
          <w:i/>
          <w:iCs/>
          <w:color w:val="000000" w:themeColor="text1"/>
          <w:lang w:val="es-EC"/>
        </w:rPr>
        <w:t> Foro Revista De Derecho (Quito), </w:t>
      </w:r>
      <w:r w:rsidRPr="006A2166">
        <w:rPr>
          <w:rFonts w:ascii="Times New Roman" w:eastAsia="Times New Roman" w:hAnsi="Times New Roman" w:cs="Times New Roman"/>
          <w:color w:val="000000" w:themeColor="text1"/>
          <w:shd w:val="clear" w:color="auto" w:fill="FFFFFF"/>
          <w:lang w:val="es-EC"/>
        </w:rPr>
        <w:t xml:space="preserve">(21), 129-147. </w:t>
      </w:r>
      <w:r w:rsidR="00450260">
        <w:rPr>
          <w:rFonts w:ascii="Times New Roman" w:eastAsia="Times New Roman" w:hAnsi="Times New Roman" w:cs="Times New Roman"/>
          <w:color w:val="000000" w:themeColor="text1"/>
          <w:shd w:val="clear" w:color="auto" w:fill="FFFFFF"/>
          <w:lang w:val="es-EC"/>
        </w:rPr>
        <w:t xml:space="preserve">Recuperado de: </w:t>
      </w:r>
      <w:r w:rsidRPr="006A2166">
        <w:rPr>
          <w:rFonts w:ascii="Times New Roman" w:eastAsia="Times New Roman" w:hAnsi="Times New Roman" w:cs="Times New Roman"/>
          <w:color w:val="000000" w:themeColor="text1"/>
          <w:shd w:val="clear" w:color="auto" w:fill="FFFFFF"/>
          <w:lang w:val="es-EC"/>
        </w:rPr>
        <w:t>https://search-proquest-com.bibliotecavirtual.udla.edu.ec/docview/1716220937?accountid=33194</w:t>
      </w:r>
    </w:p>
    <w:p w14:paraId="2DAF1F03" w14:textId="77777777" w:rsidR="00517375" w:rsidRPr="006A2166" w:rsidRDefault="00517375" w:rsidP="0025217E">
      <w:pPr>
        <w:spacing w:line="276" w:lineRule="auto"/>
        <w:jc w:val="both"/>
        <w:rPr>
          <w:rFonts w:ascii="Times New Roman" w:hAnsi="Times New Roman" w:cs="Times New Roman"/>
          <w:color w:val="000000" w:themeColor="text1"/>
        </w:rPr>
      </w:pPr>
    </w:p>
    <w:p w14:paraId="3664E8FC" w14:textId="63DB6967" w:rsidR="009C4223" w:rsidRPr="006A2166" w:rsidRDefault="009C4223" w:rsidP="0025217E">
      <w:pPr>
        <w:widowControl w:val="0"/>
        <w:autoSpaceDE w:val="0"/>
        <w:autoSpaceDN w:val="0"/>
        <w:adjustRightInd w:val="0"/>
        <w:spacing w:after="240" w:line="276" w:lineRule="auto"/>
        <w:ind w:firstLine="708"/>
        <w:jc w:val="both"/>
        <w:rPr>
          <w:rFonts w:ascii="Times New Roman" w:hAnsi="Times New Roman" w:cs="Times New Roman"/>
          <w:color w:val="000000" w:themeColor="text1"/>
          <w:lang w:val="es-ES"/>
        </w:rPr>
      </w:pPr>
      <w:r w:rsidRPr="006A2166">
        <w:rPr>
          <w:rFonts w:ascii="Times New Roman" w:hAnsi="Times New Roman" w:cs="Times New Roman"/>
          <w:color w:val="000000" w:themeColor="text1"/>
          <w:lang w:val="es-ES"/>
        </w:rPr>
        <w:t xml:space="preserve">ONU – Consejo de Derechos Humanos – Informe del ex Relator Especial sobre la situación de los derechos humanos y las libertades fundamentales de los indígenas, James Anaya. Doc. ONU A/HRC/12/34, 15 de julio de 2009, párrs. 62-63. </w:t>
      </w:r>
    </w:p>
    <w:p w14:paraId="2B3DDEE8" w14:textId="77777777" w:rsidR="001D0E9D" w:rsidRPr="001D0E9D" w:rsidRDefault="002607B5" w:rsidP="001D0E9D">
      <w:pPr>
        <w:pStyle w:val="NormalWeb"/>
        <w:spacing w:line="276" w:lineRule="auto"/>
        <w:ind w:firstLine="708"/>
        <w:jc w:val="both"/>
        <w:rPr>
          <w:rFonts w:ascii="Times New Roman" w:hAnsi="Times New Roman"/>
          <w:color w:val="000000" w:themeColor="text1"/>
          <w:sz w:val="24"/>
          <w:szCs w:val="24"/>
        </w:rPr>
      </w:pPr>
      <w:r w:rsidRPr="006A2166">
        <w:rPr>
          <w:rFonts w:ascii="Times New Roman" w:hAnsi="Times New Roman"/>
          <w:color w:val="000000" w:themeColor="text1"/>
          <w:sz w:val="24"/>
          <w:szCs w:val="24"/>
          <w:lang w:val="es-ES"/>
        </w:rPr>
        <w:t>O</w:t>
      </w:r>
      <w:r w:rsidRPr="001D0E9D">
        <w:rPr>
          <w:rFonts w:ascii="Times New Roman" w:hAnsi="Times New Roman"/>
          <w:color w:val="000000" w:themeColor="text1"/>
          <w:sz w:val="24"/>
          <w:szCs w:val="24"/>
          <w:lang w:val="es-ES"/>
        </w:rPr>
        <w:t xml:space="preserve">NU – Consejo de Derechos Humanos – Informe del Relator Especial </w:t>
      </w:r>
      <w:r w:rsidRPr="001D0E9D">
        <w:rPr>
          <w:rFonts w:ascii="Times New Roman" w:hAnsi="Times New Roman"/>
          <w:color w:val="000000" w:themeColor="text1"/>
          <w:sz w:val="24"/>
          <w:szCs w:val="24"/>
        </w:rPr>
        <w:t>de la Subcomisión de Prevención de Discriminaciones y Protección a las Minorías</w:t>
      </w:r>
      <w:r w:rsidRPr="001D0E9D">
        <w:rPr>
          <w:rFonts w:ascii="Times New Roman" w:hAnsi="Times New Roman"/>
          <w:color w:val="000000" w:themeColor="text1"/>
          <w:sz w:val="24"/>
          <w:szCs w:val="24"/>
          <w:lang w:val="es-ES"/>
        </w:rPr>
        <w:t xml:space="preserve">. Estudio sobre el problema de la discriminación en contra de las comunidades indígenas. </w:t>
      </w:r>
      <w:r w:rsidRPr="001D0E9D">
        <w:rPr>
          <w:rFonts w:ascii="Times New Roman" w:hAnsi="Times New Roman"/>
          <w:color w:val="000000" w:themeColor="text1"/>
          <w:sz w:val="24"/>
          <w:szCs w:val="24"/>
        </w:rPr>
        <w:t>Jose Martinez Cobo.</w:t>
      </w:r>
      <w:r w:rsidRPr="001D0E9D">
        <w:rPr>
          <w:rFonts w:ascii="Times New Roman" w:hAnsi="Times New Roman"/>
          <w:color w:val="000000" w:themeColor="text1"/>
          <w:sz w:val="24"/>
          <w:szCs w:val="24"/>
          <w:lang w:val="es-ES"/>
        </w:rPr>
        <w:t xml:space="preserve"> Doc. ONU </w:t>
      </w:r>
      <w:r w:rsidRPr="001D0E9D">
        <w:rPr>
          <w:rFonts w:ascii="Times New Roman" w:hAnsi="Times New Roman"/>
          <w:color w:val="000000" w:themeColor="text1"/>
          <w:sz w:val="24"/>
          <w:szCs w:val="24"/>
        </w:rPr>
        <w:t>E/CN.4/Sub.2/1986/7</w:t>
      </w:r>
    </w:p>
    <w:p w14:paraId="242C07F1" w14:textId="7763C9EB" w:rsidR="002607B5" w:rsidRPr="001D0E9D" w:rsidRDefault="002607B5" w:rsidP="001D0E9D">
      <w:pPr>
        <w:pStyle w:val="NormalWeb"/>
        <w:spacing w:line="276" w:lineRule="auto"/>
        <w:ind w:firstLine="708"/>
        <w:jc w:val="both"/>
        <w:rPr>
          <w:rFonts w:ascii="Times New Roman" w:hAnsi="Times New Roman"/>
          <w:color w:val="000000" w:themeColor="text1"/>
          <w:sz w:val="24"/>
          <w:szCs w:val="24"/>
        </w:rPr>
      </w:pPr>
      <w:r w:rsidRPr="001D0E9D">
        <w:rPr>
          <w:rFonts w:ascii="Times New Roman" w:hAnsi="Times New Roman"/>
          <w:sz w:val="24"/>
          <w:szCs w:val="24"/>
          <w:lang w:val="es-ES"/>
        </w:rPr>
        <w:t>Pacto Internacional de Derechos Civiles y Políticos</w:t>
      </w:r>
      <w:r w:rsidR="001D0E9D" w:rsidRPr="001D0E9D">
        <w:rPr>
          <w:rFonts w:ascii="Times New Roman" w:hAnsi="Times New Roman"/>
          <w:sz w:val="24"/>
          <w:szCs w:val="24"/>
          <w:lang w:val="es-ES"/>
        </w:rPr>
        <w:t xml:space="preserve">, </w:t>
      </w:r>
      <w:r w:rsidR="001D0E9D" w:rsidRPr="001D0E9D">
        <w:rPr>
          <w:rFonts w:ascii="Times New Roman" w:eastAsia="Times New Roman" w:hAnsi="Times New Roman"/>
          <w:bCs/>
          <w:color w:val="262626"/>
          <w:sz w:val="24"/>
          <w:szCs w:val="24"/>
        </w:rPr>
        <w:t xml:space="preserve">16 de diciembre de 1966 disponible en </w:t>
      </w:r>
      <w:r w:rsidR="001D0E9D" w:rsidRPr="001D0E9D">
        <w:rPr>
          <w:rFonts w:ascii="Times New Roman" w:eastAsia="Times New Roman" w:hAnsi="Times New Roman"/>
          <w:color w:val="262626"/>
          <w:sz w:val="24"/>
          <w:szCs w:val="24"/>
        </w:rPr>
        <w:t>https://www.ohchr.org/sp/professionalinterest/pages/ccpr.aspx</w:t>
      </w:r>
    </w:p>
    <w:p w14:paraId="0F3F4621" w14:textId="6C49FF68" w:rsidR="00110F6B" w:rsidRPr="006A2166" w:rsidRDefault="00261988" w:rsidP="0025217E">
      <w:pPr>
        <w:spacing w:line="276" w:lineRule="auto"/>
        <w:ind w:firstLine="708"/>
        <w:jc w:val="both"/>
        <w:rPr>
          <w:rFonts w:ascii="Times New Roman" w:hAnsi="Times New Roman" w:cs="Times New Roman"/>
          <w:color w:val="000000" w:themeColor="text1"/>
        </w:rPr>
      </w:pPr>
      <w:proofErr w:type="spellStart"/>
      <w:r w:rsidRPr="00D878BB">
        <w:rPr>
          <w:rFonts w:ascii="Times New Roman" w:hAnsi="Times New Roman" w:cs="Times New Roman"/>
          <w:color w:val="000000" w:themeColor="text1"/>
          <w:lang w:val="en-US"/>
        </w:rPr>
        <w:t>Swepston</w:t>
      </w:r>
      <w:proofErr w:type="spellEnd"/>
      <w:r w:rsidRPr="00D878BB">
        <w:rPr>
          <w:rFonts w:ascii="Times New Roman" w:hAnsi="Times New Roman" w:cs="Times New Roman"/>
          <w:color w:val="000000" w:themeColor="text1"/>
          <w:lang w:val="en-US"/>
        </w:rPr>
        <w:t xml:space="preserve">, L (1990) The adoption of the indigenous and tribal peoples Convention, 1989. </w:t>
      </w:r>
      <w:proofErr w:type="spellStart"/>
      <w:r w:rsidRPr="001D0E9D">
        <w:rPr>
          <w:rFonts w:ascii="Times New Roman" w:hAnsi="Times New Roman" w:cs="Times New Roman"/>
          <w:color w:val="000000" w:themeColor="text1"/>
        </w:rPr>
        <w:t>Law</w:t>
      </w:r>
      <w:proofErr w:type="spellEnd"/>
      <w:r w:rsidRPr="001D0E9D">
        <w:rPr>
          <w:rFonts w:ascii="Times New Roman" w:hAnsi="Times New Roman" w:cs="Times New Roman"/>
          <w:color w:val="000000" w:themeColor="text1"/>
        </w:rPr>
        <w:t xml:space="preserve"> and </w:t>
      </w:r>
      <w:proofErr w:type="spellStart"/>
      <w:r w:rsidRPr="001D0E9D">
        <w:rPr>
          <w:rFonts w:ascii="Times New Roman" w:hAnsi="Times New Roman" w:cs="Times New Roman"/>
          <w:color w:val="000000" w:themeColor="text1"/>
        </w:rPr>
        <w:t>Anthropology</w:t>
      </w:r>
      <w:proofErr w:type="spellEnd"/>
      <w:r w:rsidRPr="001D0E9D">
        <w:rPr>
          <w:rFonts w:ascii="Times New Roman" w:hAnsi="Times New Roman" w:cs="Times New Roman"/>
          <w:color w:val="000000" w:themeColor="text1"/>
        </w:rPr>
        <w:t xml:space="preserve"> No. 6 pp. 221</w:t>
      </w:r>
      <w:r w:rsidRPr="006A2166">
        <w:rPr>
          <w:rFonts w:ascii="Times New Roman" w:hAnsi="Times New Roman" w:cs="Times New Roman"/>
          <w:color w:val="000000" w:themeColor="text1"/>
        </w:rPr>
        <w:t>-35</w:t>
      </w:r>
    </w:p>
    <w:bookmarkEnd w:id="0"/>
    <w:bookmarkEnd w:id="1"/>
    <w:p w14:paraId="1FB20C92" w14:textId="77777777" w:rsidR="00C72EA2" w:rsidRPr="006A2166" w:rsidRDefault="00C72EA2" w:rsidP="0025217E">
      <w:pPr>
        <w:spacing w:line="276" w:lineRule="auto"/>
        <w:jc w:val="both"/>
        <w:rPr>
          <w:rFonts w:ascii="Times New Roman" w:hAnsi="Times New Roman" w:cs="Times New Roman"/>
          <w:color w:val="000000" w:themeColor="text1"/>
        </w:rPr>
      </w:pPr>
    </w:p>
    <w:sectPr w:rsidR="00C72EA2" w:rsidRPr="006A2166" w:rsidSect="0036631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ECB60" w14:textId="77777777" w:rsidR="008A29E1" w:rsidRDefault="008A29E1" w:rsidP="00637D64">
      <w:r>
        <w:separator/>
      </w:r>
    </w:p>
  </w:endnote>
  <w:endnote w:type="continuationSeparator" w:id="0">
    <w:p w14:paraId="4CF080B3" w14:textId="77777777" w:rsidR="008A29E1" w:rsidRDefault="008A29E1" w:rsidP="0063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21D82" w14:textId="77777777" w:rsidR="008A29E1" w:rsidRDefault="008A29E1" w:rsidP="00637D64">
      <w:r>
        <w:separator/>
      </w:r>
    </w:p>
  </w:footnote>
  <w:footnote w:type="continuationSeparator" w:id="0">
    <w:p w14:paraId="05F538BB" w14:textId="77777777" w:rsidR="008A29E1" w:rsidRDefault="008A29E1" w:rsidP="00637D64">
      <w:r>
        <w:continuationSeparator/>
      </w:r>
    </w:p>
  </w:footnote>
  <w:footnote w:id="1">
    <w:p w14:paraId="32457628" w14:textId="77777777" w:rsidR="00DD7069" w:rsidRPr="0025217E" w:rsidRDefault="00DD7069" w:rsidP="0025217E">
      <w:pPr>
        <w:widowControl w:val="0"/>
        <w:autoSpaceDE w:val="0"/>
        <w:autoSpaceDN w:val="0"/>
        <w:adjustRightInd w:val="0"/>
        <w:jc w:val="both"/>
        <w:rPr>
          <w:rFonts w:ascii="Times New Roman" w:eastAsia="Times New Roman" w:hAnsi="Times New Roman" w:cs="Times New Roman"/>
          <w:color w:val="000000"/>
          <w:sz w:val="20"/>
          <w:szCs w:val="20"/>
          <w:shd w:val="clear" w:color="auto" w:fill="FFFFFF"/>
          <w:lang w:val="es-EC"/>
        </w:rPr>
      </w:pPr>
      <w:r w:rsidRPr="0025217E">
        <w:rPr>
          <w:rStyle w:val="Refdenotaalpie"/>
          <w:rFonts w:ascii="Times New Roman" w:hAnsi="Times New Roman" w:cs="Times New Roman"/>
          <w:sz w:val="20"/>
          <w:szCs w:val="20"/>
        </w:rPr>
        <w:footnoteRef/>
      </w:r>
      <w:r w:rsidRPr="0025217E">
        <w:rPr>
          <w:rFonts w:ascii="Times New Roman" w:hAnsi="Times New Roman" w:cs="Times New Roman"/>
          <w:sz w:val="20"/>
          <w:szCs w:val="20"/>
        </w:rPr>
        <w:t xml:space="preserve"> Tipo de trabajo: Artículo de reflexión. </w:t>
      </w:r>
    </w:p>
  </w:footnote>
  <w:footnote w:id="2">
    <w:p w14:paraId="2DD29B9F" w14:textId="77777777" w:rsidR="00DD7069" w:rsidRPr="0025217E" w:rsidRDefault="00DD7069" w:rsidP="0025217E">
      <w:pPr>
        <w:widowControl w:val="0"/>
        <w:autoSpaceDE w:val="0"/>
        <w:autoSpaceDN w:val="0"/>
        <w:adjustRightInd w:val="0"/>
        <w:jc w:val="both"/>
        <w:rPr>
          <w:rFonts w:ascii="Times New Roman" w:hAnsi="Times New Roman" w:cs="Times New Roman"/>
          <w:sz w:val="20"/>
          <w:szCs w:val="20"/>
        </w:rPr>
      </w:pPr>
      <w:r w:rsidRPr="0025217E">
        <w:rPr>
          <w:rStyle w:val="Refdenotaalpie"/>
          <w:rFonts w:ascii="Times New Roman" w:hAnsi="Times New Roman" w:cs="Times New Roman"/>
          <w:sz w:val="20"/>
          <w:szCs w:val="20"/>
        </w:rPr>
        <w:footnoteRef/>
      </w:r>
      <w:r w:rsidRPr="0025217E">
        <w:rPr>
          <w:rFonts w:ascii="Times New Roman" w:hAnsi="Times New Roman" w:cs="Times New Roman"/>
          <w:sz w:val="20"/>
          <w:szCs w:val="20"/>
        </w:rPr>
        <w:t xml:space="preserve"> En este sentido Catalina Arteaga ha definido a la identidad colectiva como: </w:t>
      </w:r>
      <w:r w:rsidRPr="0025217E">
        <w:rPr>
          <w:rFonts w:ascii="Times New Roman" w:hAnsi="Times New Roman" w:cs="Times New Roman"/>
          <w:sz w:val="20"/>
          <w:szCs w:val="20"/>
          <w:lang w:val="es-ES"/>
        </w:rPr>
        <w:t>“la autopercepción de un nosotros relativamente homogéneo en contraposición con los ‘otros’, con base en atributos o rasgos distintivos, subjetivamente seleccionados y valorizados, que a la vez funcionan como símbolos que delimitan el espacio de la ‘mismidad identitaria’” (Arteaga, 2000: 54).</w:t>
      </w:r>
    </w:p>
  </w:footnote>
  <w:footnote w:id="3">
    <w:p w14:paraId="03A8FA5B" w14:textId="77777777" w:rsidR="00DD7069" w:rsidRPr="0025217E" w:rsidRDefault="00DD7069" w:rsidP="0025217E">
      <w:pPr>
        <w:pStyle w:val="Textonotapie"/>
        <w:jc w:val="both"/>
        <w:rPr>
          <w:rFonts w:ascii="Times New Roman" w:hAnsi="Times New Roman" w:cs="Times New Roman"/>
          <w:sz w:val="20"/>
          <w:szCs w:val="20"/>
        </w:rPr>
      </w:pPr>
      <w:r w:rsidRPr="0025217E">
        <w:rPr>
          <w:rStyle w:val="Refdenotaalpie"/>
          <w:rFonts w:ascii="Times New Roman" w:hAnsi="Times New Roman" w:cs="Times New Roman"/>
          <w:sz w:val="20"/>
          <w:szCs w:val="20"/>
        </w:rPr>
        <w:footnoteRef/>
      </w:r>
      <w:r w:rsidRPr="0025217E">
        <w:rPr>
          <w:rFonts w:ascii="Times New Roman" w:hAnsi="Times New Roman" w:cs="Times New Roman"/>
          <w:sz w:val="20"/>
          <w:szCs w:val="20"/>
        </w:rPr>
        <w:t xml:space="preserve"> Declaración sobre la concesión de la independencia a los países y pueblos coloniales. Resolución 1514 (XV) de 14 de diciembre de 1960. </w:t>
      </w:r>
    </w:p>
  </w:footnote>
  <w:footnote w:id="4">
    <w:p w14:paraId="04993580" w14:textId="77777777" w:rsidR="00DD7069" w:rsidRPr="0025217E" w:rsidRDefault="00DD7069" w:rsidP="0025217E">
      <w:pPr>
        <w:pStyle w:val="Ttulo2"/>
        <w:spacing w:before="0" w:beforeAutospacing="0" w:after="0" w:afterAutospacing="0"/>
        <w:jc w:val="both"/>
        <w:rPr>
          <w:rFonts w:ascii="Times New Roman" w:hAnsi="Times New Roman" w:cs="Times New Roman"/>
          <w:b w:val="0"/>
          <w:sz w:val="20"/>
          <w:szCs w:val="20"/>
        </w:rPr>
      </w:pPr>
      <w:r w:rsidRPr="0025217E">
        <w:rPr>
          <w:rStyle w:val="Refdenotaalpie"/>
          <w:rFonts w:ascii="Times New Roman" w:hAnsi="Times New Roman" w:cs="Times New Roman"/>
          <w:sz w:val="20"/>
          <w:szCs w:val="20"/>
        </w:rPr>
        <w:footnoteRef/>
      </w:r>
      <w:r w:rsidRPr="0025217E">
        <w:rPr>
          <w:rFonts w:ascii="Times New Roman" w:hAnsi="Times New Roman" w:cs="Times New Roman"/>
          <w:sz w:val="20"/>
          <w:szCs w:val="20"/>
        </w:rPr>
        <w:t xml:space="preserve"> </w:t>
      </w:r>
      <w:r w:rsidRPr="0025217E">
        <w:rPr>
          <w:rFonts w:ascii="Times New Roman" w:hAnsi="Times New Roman" w:cs="Times New Roman"/>
          <w:b w:val="0"/>
          <w:sz w:val="20"/>
          <w:szCs w:val="20"/>
        </w:rPr>
        <w:t xml:space="preserve">El Comité de Derechos Humanos que monitorea el cumplimiento del Pacto Internacional de Derechos Civiles y Políticos exigió a los Estados Parte que describan los procesos constitucionales que garanticen el ejercicio del derecho a la libre autodeterminación. </w:t>
      </w:r>
    </w:p>
  </w:footnote>
  <w:footnote w:id="5">
    <w:p w14:paraId="04A62B12" w14:textId="77777777" w:rsidR="00DD7069" w:rsidRPr="0025217E" w:rsidRDefault="00DD7069" w:rsidP="0025217E">
      <w:pPr>
        <w:pStyle w:val="Textonotapie"/>
        <w:jc w:val="both"/>
        <w:rPr>
          <w:rFonts w:ascii="Times New Roman" w:hAnsi="Times New Roman" w:cs="Times New Roman"/>
          <w:sz w:val="20"/>
          <w:szCs w:val="20"/>
        </w:rPr>
      </w:pPr>
      <w:r w:rsidRPr="0025217E">
        <w:rPr>
          <w:rStyle w:val="Refdenotaalpie"/>
          <w:rFonts w:ascii="Times New Roman" w:hAnsi="Times New Roman" w:cs="Times New Roman"/>
          <w:sz w:val="20"/>
          <w:szCs w:val="20"/>
        </w:rPr>
        <w:footnoteRef/>
      </w:r>
      <w:r w:rsidRPr="0025217E">
        <w:rPr>
          <w:rFonts w:ascii="Times New Roman" w:hAnsi="Times New Roman" w:cs="Times New Roman"/>
          <w:sz w:val="20"/>
          <w:szCs w:val="20"/>
        </w:rPr>
        <w:t xml:space="preserve"> Texto criticado puesto que mantenía una visión integracionista donde los pueblos “salvajes” entren en un proceso de socialización previa educación o civilización. (</w:t>
      </w:r>
      <w:r w:rsidRPr="0025217E">
        <w:rPr>
          <w:rFonts w:ascii="Times New Roman" w:eastAsia="Times New Roman" w:hAnsi="Times New Roman" w:cs="Times New Roman"/>
          <w:color w:val="000000" w:themeColor="text1"/>
          <w:sz w:val="20"/>
          <w:szCs w:val="20"/>
          <w:shd w:val="clear" w:color="auto" w:fill="FFFFFF"/>
        </w:rPr>
        <w:t>Ludescher, 2014</w:t>
      </w:r>
      <w:r w:rsidRPr="0025217E">
        <w:rPr>
          <w:rFonts w:ascii="Times New Roman" w:hAnsi="Times New Roman" w:cs="Times New Roman"/>
          <w:sz w:val="20"/>
          <w:szCs w:val="20"/>
        </w:rPr>
        <w:t>)</w:t>
      </w:r>
    </w:p>
  </w:footnote>
  <w:footnote w:id="6">
    <w:p w14:paraId="63803CE5" w14:textId="10C66372" w:rsidR="00DD7069" w:rsidRPr="0025217E" w:rsidRDefault="00DD7069" w:rsidP="0025217E">
      <w:pPr>
        <w:pStyle w:val="Textonotapie"/>
        <w:jc w:val="both"/>
        <w:rPr>
          <w:rFonts w:ascii="Times New Roman" w:hAnsi="Times New Roman" w:cs="Times New Roman"/>
          <w:sz w:val="20"/>
          <w:szCs w:val="20"/>
        </w:rPr>
      </w:pPr>
      <w:r w:rsidRPr="0025217E">
        <w:rPr>
          <w:rStyle w:val="Refdenotaalpie"/>
          <w:rFonts w:ascii="Times New Roman" w:hAnsi="Times New Roman" w:cs="Times New Roman"/>
          <w:sz w:val="20"/>
          <w:szCs w:val="20"/>
        </w:rPr>
        <w:footnoteRef/>
      </w:r>
      <w:r w:rsidRPr="0025217E">
        <w:rPr>
          <w:rFonts w:ascii="Times New Roman" w:hAnsi="Times New Roman" w:cs="Times New Roman"/>
          <w:sz w:val="20"/>
          <w:szCs w:val="20"/>
        </w:rPr>
        <w:t xml:space="preserve"> </w:t>
      </w:r>
    </w:p>
  </w:footnote>
  <w:footnote w:id="7">
    <w:p w14:paraId="75CF1486" w14:textId="77777777" w:rsidR="00DD7069" w:rsidRPr="0025217E" w:rsidRDefault="00DD7069" w:rsidP="0025217E">
      <w:pPr>
        <w:pStyle w:val="Textonotapie"/>
        <w:jc w:val="both"/>
        <w:rPr>
          <w:rFonts w:ascii="Times New Roman" w:hAnsi="Times New Roman" w:cs="Times New Roman"/>
          <w:sz w:val="20"/>
          <w:szCs w:val="20"/>
        </w:rPr>
      </w:pPr>
      <w:r w:rsidRPr="0025217E">
        <w:rPr>
          <w:rStyle w:val="Refdenotaalpie"/>
          <w:rFonts w:ascii="Times New Roman" w:hAnsi="Times New Roman" w:cs="Times New Roman"/>
          <w:sz w:val="20"/>
          <w:szCs w:val="20"/>
        </w:rPr>
        <w:footnoteRef/>
      </w:r>
      <w:r w:rsidRPr="0025217E">
        <w:rPr>
          <w:rFonts w:ascii="Times New Roman" w:hAnsi="Times New Roman" w:cs="Times New Roman"/>
          <w:sz w:val="20"/>
          <w:szCs w:val="20"/>
        </w:rPr>
        <w:t xml:space="preserve"> Suplemento del Registro Oficial No. 517 de 29 de enero de 2009 de la República del Ecuador.</w:t>
      </w:r>
    </w:p>
  </w:footnote>
  <w:footnote w:id="8">
    <w:p w14:paraId="551A2CF2" w14:textId="29FDAF16" w:rsidR="00DD7069" w:rsidRPr="0025217E" w:rsidRDefault="00DD7069" w:rsidP="0025217E">
      <w:pPr>
        <w:pStyle w:val="Textonotapie"/>
        <w:jc w:val="both"/>
        <w:rPr>
          <w:rFonts w:ascii="Times New Roman" w:hAnsi="Times New Roman" w:cs="Times New Roman"/>
          <w:sz w:val="20"/>
          <w:szCs w:val="20"/>
        </w:rPr>
      </w:pPr>
      <w:r w:rsidRPr="0025217E">
        <w:rPr>
          <w:rStyle w:val="Refdenotaalpie"/>
          <w:rFonts w:ascii="Times New Roman" w:hAnsi="Times New Roman" w:cs="Times New Roman"/>
          <w:sz w:val="20"/>
          <w:szCs w:val="20"/>
        </w:rPr>
        <w:footnoteRef/>
      </w:r>
      <w:r w:rsidRPr="0025217E">
        <w:rPr>
          <w:rFonts w:ascii="Times New Roman" w:hAnsi="Times New Roman" w:cs="Times New Roman"/>
          <w:sz w:val="20"/>
          <w:szCs w:val="20"/>
        </w:rPr>
        <w:t xml:space="preserve"> El artículo 15 hace relación a los recursos naturales en las tierras indígenas, así el numeral primero señala el derecho de estos pueblos a participar en la utilización, administración y conservación de dichos recursos</w:t>
      </w:r>
      <w:r w:rsidRPr="0025217E">
        <w:rPr>
          <w:rFonts w:ascii="Times New Roman" w:hAnsi="Times New Roman" w:cs="Times New Roman"/>
          <w:color w:val="000000" w:themeColor="text1"/>
          <w:sz w:val="20"/>
          <w:szCs w:val="20"/>
        </w:rPr>
        <w:t>” y el numeral 2 establece la obligatoriedad de consultar a pueblos antes de iniciar la prospección o explotación de minerales …</w:t>
      </w:r>
    </w:p>
  </w:footnote>
  <w:footnote w:id="9">
    <w:p w14:paraId="2AFA5095" w14:textId="6AF217F1" w:rsidR="00DD7069" w:rsidRPr="0025217E" w:rsidRDefault="00DD7069" w:rsidP="0025217E">
      <w:pPr>
        <w:pStyle w:val="Textonotapie"/>
        <w:jc w:val="both"/>
        <w:rPr>
          <w:rFonts w:ascii="Times New Roman" w:hAnsi="Times New Roman" w:cs="Times New Roman"/>
          <w:sz w:val="20"/>
          <w:szCs w:val="20"/>
        </w:rPr>
      </w:pPr>
      <w:r w:rsidRPr="0025217E">
        <w:rPr>
          <w:rStyle w:val="Refdenotaalpie"/>
          <w:rFonts w:ascii="Times New Roman" w:hAnsi="Times New Roman" w:cs="Times New Roman"/>
          <w:sz w:val="20"/>
          <w:szCs w:val="20"/>
        </w:rPr>
        <w:footnoteRef/>
      </w:r>
      <w:r w:rsidRPr="0025217E">
        <w:rPr>
          <w:rFonts w:ascii="Times New Roman" w:hAnsi="Times New Roman" w:cs="Times New Roman"/>
          <w:sz w:val="20"/>
          <w:szCs w:val="20"/>
        </w:rPr>
        <w:t xml:space="preserve"> Convenio 169 de </w:t>
      </w:r>
      <w:r>
        <w:rPr>
          <w:rFonts w:ascii="Times New Roman" w:hAnsi="Times New Roman" w:cs="Times New Roman"/>
          <w:sz w:val="20"/>
          <w:szCs w:val="20"/>
        </w:rPr>
        <w:t>la OIT: “1. Al aplicar las dis</w:t>
      </w:r>
      <w:r w:rsidRPr="0025217E">
        <w:rPr>
          <w:rFonts w:ascii="Times New Roman" w:hAnsi="Times New Roman" w:cs="Times New Roman"/>
          <w:sz w:val="20"/>
          <w:szCs w:val="20"/>
        </w:rPr>
        <w:t>posiciones del presente Convenio, los gobiernos deberán: a) Consultar a los pueblos in</w:t>
      </w:r>
      <w:r>
        <w:rPr>
          <w:rFonts w:ascii="Times New Roman" w:hAnsi="Times New Roman" w:cs="Times New Roman"/>
          <w:sz w:val="20"/>
          <w:szCs w:val="20"/>
        </w:rPr>
        <w:t>teresados, mediante pro</w:t>
      </w:r>
      <w:r w:rsidRPr="0025217E">
        <w:rPr>
          <w:rFonts w:ascii="Times New Roman" w:hAnsi="Times New Roman" w:cs="Times New Roman"/>
          <w:sz w:val="20"/>
          <w:szCs w:val="20"/>
        </w:rPr>
        <w:t>cedimientos apropiados y en particular a través de sus instituciones representativas, cada vez que se prevean medidas legislativas o administrativas susceptibles de afectarles directamente; [...]”. Art. 19 de la Declaración de Naciones Unidas sobre los Derechos de los Pueblos Indígenas: “Los Estados celebraran consultas y cooperaran de buena fe con los pueblos indígenas interesados por medio de instituciones representativas antes de adoptar y aplicar medidas legislativas o administrativas que los afecten, a fin de obtener su consentimiento libre, previo e informado”.</w:t>
      </w:r>
    </w:p>
  </w:footnote>
  <w:footnote w:id="10">
    <w:p w14:paraId="776EE7B4" w14:textId="0623E6D2" w:rsidR="00DD7069" w:rsidRPr="0025217E" w:rsidRDefault="00DD7069" w:rsidP="004716B0">
      <w:pPr>
        <w:pStyle w:val="Textonotapie"/>
        <w:contextualSpacing/>
        <w:jc w:val="both"/>
        <w:rPr>
          <w:rFonts w:ascii="Times New Roman" w:hAnsi="Times New Roman" w:cs="Times New Roman"/>
          <w:sz w:val="20"/>
          <w:szCs w:val="20"/>
        </w:rPr>
      </w:pPr>
      <w:r w:rsidRPr="0025217E">
        <w:rPr>
          <w:rStyle w:val="Refdenotaalpie"/>
          <w:rFonts w:ascii="Times New Roman" w:hAnsi="Times New Roman" w:cs="Times New Roman"/>
          <w:sz w:val="20"/>
          <w:szCs w:val="20"/>
        </w:rPr>
        <w:footnoteRef/>
      </w:r>
      <w:r w:rsidRPr="0025217E">
        <w:rPr>
          <w:rFonts w:ascii="Times New Roman" w:hAnsi="Times New Roman" w:cs="Times New Roman"/>
          <w:sz w:val="20"/>
          <w:szCs w:val="20"/>
        </w:rPr>
        <w:t xml:space="preserve"> Así en la sentencia señala como mecanismos información y de participación se encuentran</w:t>
      </w:r>
    </w:p>
    <w:p w14:paraId="64690D8E" w14:textId="1DBA0D5C" w:rsidR="00DD7069" w:rsidRPr="0025217E" w:rsidRDefault="00DD7069" w:rsidP="004716B0">
      <w:pPr>
        <w:contextualSpacing/>
        <w:jc w:val="both"/>
        <w:rPr>
          <w:rFonts w:ascii="Times New Roman" w:hAnsi="Times New Roman" w:cs="Times New Roman"/>
          <w:sz w:val="20"/>
          <w:szCs w:val="20"/>
        </w:rPr>
      </w:pPr>
      <w:r w:rsidRPr="0025217E">
        <w:rPr>
          <w:rFonts w:ascii="Times New Roman" w:hAnsi="Times New Roman" w:cs="Times New Roman"/>
          <w:sz w:val="20"/>
          <w:szCs w:val="20"/>
        </w:rPr>
        <w:t>- 22 octubre de 2016 – Ing. Derlis Palacios en calidad de Ministro de Minas presenta un proyecto de ley. Dicho escrito esta dirigido a varios funcionarios gubernamentales y ciudadanía entre ellos al Pdte. de la CONAIE cumpliéndose el artículo 6 del Convenio 169 que establece “los gobiernos deberán a) consultar a los pueblos interesados, mediante procedimientos apropiados y en particular a  través de sus instituciones representativas, cada vez que se prevean medidas legislativas o administrativas susceptibles de afectarlas directamente.“</w:t>
      </w:r>
    </w:p>
    <w:p w14:paraId="2D39E3B8" w14:textId="5F95485E" w:rsidR="00DD7069" w:rsidRPr="0025217E" w:rsidRDefault="00DD7069" w:rsidP="004716B0">
      <w:pPr>
        <w:contextualSpacing/>
        <w:jc w:val="both"/>
        <w:rPr>
          <w:rFonts w:ascii="Times New Roman" w:hAnsi="Times New Roman" w:cs="Times New Roman"/>
          <w:sz w:val="20"/>
          <w:szCs w:val="20"/>
        </w:rPr>
      </w:pPr>
      <w:r w:rsidRPr="0025217E">
        <w:rPr>
          <w:rFonts w:ascii="Times New Roman" w:hAnsi="Times New Roman" w:cs="Times New Roman"/>
          <w:sz w:val="20"/>
          <w:szCs w:val="20"/>
        </w:rPr>
        <w:t>- 2 diciembre de 2016 presentan argumentos de inconstitucionalidad del proyecto de ley de Minería por lo que solicitaron su archivo (CONAIE, ECUARUNARI, Coordinador del Jubones. Presidente del Pangui, Presidente de Defensa de la vida Gualaquiza, Presidente Juventudes Gualaquiza, Municipio del Pangui, Frente Femenino del Pangui, Presidente Saraguros, Movimiento Mujeres Luna Creciente del Sur, Asociación de Saraguros de Loja, FECAB-Bolivar, Acción Ecológica, Frente de defensa Yantzaza, Frente de Defensa del Cañar, Corpukis Loja y UNAGUA). Por lo tanto, existió un proceso de información y participación de varios representantes de las comunidades, pueblos y nacionalidades indígenas.</w:t>
      </w:r>
    </w:p>
    <w:p w14:paraId="20E1C93C" w14:textId="6A19C205" w:rsidR="00DD7069" w:rsidRPr="0025217E" w:rsidRDefault="00DD7069" w:rsidP="004716B0">
      <w:pPr>
        <w:contextualSpacing/>
        <w:jc w:val="both"/>
        <w:rPr>
          <w:rFonts w:ascii="Times New Roman" w:hAnsi="Times New Roman" w:cs="Times New Roman"/>
          <w:sz w:val="20"/>
          <w:szCs w:val="20"/>
        </w:rPr>
      </w:pPr>
      <w:r w:rsidRPr="0025217E">
        <w:rPr>
          <w:rFonts w:ascii="Times New Roman" w:hAnsi="Times New Roman" w:cs="Times New Roman"/>
          <w:sz w:val="20"/>
          <w:szCs w:val="20"/>
        </w:rPr>
        <w:t>- 5 de diciembre 2008 la Federación Shuar a través de su Presidente solicitó se incorpore su propuesta en la Ley de Minería.</w:t>
      </w:r>
    </w:p>
    <w:p w14:paraId="10F1CFE7" w14:textId="703D1AC6" w:rsidR="00DD7069" w:rsidRPr="0025217E" w:rsidRDefault="00DD7069" w:rsidP="004716B0">
      <w:pPr>
        <w:contextualSpacing/>
        <w:jc w:val="both"/>
        <w:rPr>
          <w:rFonts w:ascii="Times New Roman" w:hAnsi="Times New Roman" w:cs="Times New Roman"/>
          <w:sz w:val="20"/>
          <w:szCs w:val="20"/>
        </w:rPr>
      </w:pPr>
      <w:r w:rsidRPr="0025217E">
        <w:rPr>
          <w:rFonts w:ascii="Times New Roman" w:hAnsi="Times New Roman" w:cs="Times New Roman"/>
          <w:sz w:val="20"/>
          <w:szCs w:val="20"/>
        </w:rPr>
        <w:t>- 18 de diciembre de 2008, los Asambleístas Pachakutik remiten observaciones al proyecto de Ley.</w:t>
      </w:r>
    </w:p>
    <w:p w14:paraId="4431436B" w14:textId="74BBD1B5" w:rsidR="00DD7069" w:rsidRPr="0025217E" w:rsidRDefault="00DD7069" w:rsidP="0025217E">
      <w:pPr>
        <w:pStyle w:val="Textonotapie"/>
        <w:jc w:val="both"/>
        <w:rPr>
          <w:rFonts w:ascii="Times New Roman" w:hAnsi="Times New Roman" w:cs="Times New Roman"/>
          <w:sz w:val="20"/>
          <w:szCs w:val="20"/>
        </w:rPr>
      </w:pPr>
      <w:r w:rsidRPr="0025217E">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FC11A0"/>
    <w:multiLevelType w:val="hybridMultilevel"/>
    <w:tmpl w:val="F8BE5C90"/>
    <w:lvl w:ilvl="0" w:tplc="6E66E1CC">
      <w:start w:val="22"/>
      <w:numFmt w:val="bullet"/>
      <w:lvlText w:val="-"/>
      <w:lvlJc w:val="left"/>
      <w:pPr>
        <w:ind w:left="360" w:hanging="360"/>
      </w:pPr>
      <w:rPr>
        <w:rFonts w:ascii="Times New Roman" w:eastAsiaTheme="minorEastAsia" w:hAnsi="Times New Roman"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2ED4335"/>
    <w:multiLevelType w:val="hybridMultilevel"/>
    <w:tmpl w:val="337219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E031F3"/>
    <w:multiLevelType w:val="hybridMultilevel"/>
    <w:tmpl w:val="CC78B788"/>
    <w:lvl w:ilvl="0" w:tplc="C9BE063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D073FA"/>
    <w:multiLevelType w:val="hybridMultilevel"/>
    <w:tmpl w:val="FB105604"/>
    <w:lvl w:ilvl="0" w:tplc="4E428A9E">
      <w:start w:val="3"/>
      <w:numFmt w:val="bullet"/>
      <w:lvlText w:val="-"/>
      <w:lvlJc w:val="left"/>
      <w:pPr>
        <w:ind w:left="360" w:hanging="360"/>
      </w:pPr>
      <w:rPr>
        <w:rFonts w:ascii="Cambria" w:eastAsiaTheme="minorEastAsia" w:hAnsi="Cambria" w:cstheme="minorBid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C3C6A01"/>
    <w:multiLevelType w:val="hybridMultilevel"/>
    <w:tmpl w:val="5E4CDC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DD4551"/>
    <w:multiLevelType w:val="multilevel"/>
    <w:tmpl w:val="CD2A3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7E7D88"/>
    <w:multiLevelType w:val="hybridMultilevel"/>
    <w:tmpl w:val="189461D4"/>
    <w:lvl w:ilvl="0" w:tplc="95A45E2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1"/>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64"/>
    <w:rsid w:val="00001B87"/>
    <w:rsid w:val="00006B96"/>
    <w:rsid w:val="00010FCE"/>
    <w:rsid w:val="00080CB5"/>
    <w:rsid w:val="00084365"/>
    <w:rsid w:val="000866D8"/>
    <w:rsid w:val="000C632D"/>
    <w:rsid w:val="00110F6B"/>
    <w:rsid w:val="00113249"/>
    <w:rsid w:val="001252ED"/>
    <w:rsid w:val="00130492"/>
    <w:rsid w:val="00134015"/>
    <w:rsid w:val="00144A74"/>
    <w:rsid w:val="00165EFD"/>
    <w:rsid w:val="001746A4"/>
    <w:rsid w:val="00196345"/>
    <w:rsid w:val="001A1F81"/>
    <w:rsid w:val="001C1CD6"/>
    <w:rsid w:val="001D0E9D"/>
    <w:rsid w:val="001E5672"/>
    <w:rsid w:val="002043A5"/>
    <w:rsid w:val="0022051B"/>
    <w:rsid w:val="00230877"/>
    <w:rsid w:val="0023088B"/>
    <w:rsid w:val="00237F39"/>
    <w:rsid w:val="0024301D"/>
    <w:rsid w:val="00247F46"/>
    <w:rsid w:val="0025217E"/>
    <w:rsid w:val="002607B5"/>
    <w:rsid w:val="00261988"/>
    <w:rsid w:val="002753AD"/>
    <w:rsid w:val="0027557C"/>
    <w:rsid w:val="00293A91"/>
    <w:rsid w:val="002F7066"/>
    <w:rsid w:val="00310236"/>
    <w:rsid w:val="003303F6"/>
    <w:rsid w:val="00332EC5"/>
    <w:rsid w:val="00366316"/>
    <w:rsid w:val="00373061"/>
    <w:rsid w:val="00387561"/>
    <w:rsid w:val="003A3D6B"/>
    <w:rsid w:val="003C2724"/>
    <w:rsid w:val="003F1BD1"/>
    <w:rsid w:val="003F1EEC"/>
    <w:rsid w:val="00425C0D"/>
    <w:rsid w:val="00450260"/>
    <w:rsid w:val="004716B0"/>
    <w:rsid w:val="0047403C"/>
    <w:rsid w:val="00483E39"/>
    <w:rsid w:val="004E5702"/>
    <w:rsid w:val="005031D9"/>
    <w:rsid w:val="00517375"/>
    <w:rsid w:val="00521FC1"/>
    <w:rsid w:val="00562F6B"/>
    <w:rsid w:val="00596349"/>
    <w:rsid w:val="005B369F"/>
    <w:rsid w:val="005B7FD0"/>
    <w:rsid w:val="005C1F63"/>
    <w:rsid w:val="005F0D3B"/>
    <w:rsid w:val="00632B27"/>
    <w:rsid w:val="00633919"/>
    <w:rsid w:val="00637D64"/>
    <w:rsid w:val="00665BAC"/>
    <w:rsid w:val="0068096C"/>
    <w:rsid w:val="006A2166"/>
    <w:rsid w:val="006A5CA6"/>
    <w:rsid w:val="006A6510"/>
    <w:rsid w:val="006D1870"/>
    <w:rsid w:val="006F396B"/>
    <w:rsid w:val="00703F83"/>
    <w:rsid w:val="0071030D"/>
    <w:rsid w:val="00711255"/>
    <w:rsid w:val="00726C31"/>
    <w:rsid w:val="0074227F"/>
    <w:rsid w:val="0075640A"/>
    <w:rsid w:val="00780AEE"/>
    <w:rsid w:val="00781000"/>
    <w:rsid w:val="00794E1B"/>
    <w:rsid w:val="007F0D4A"/>
    <w:rsid w:val="00803985"/>
    <w:rsid w:val="0081593F"/>
    <w:rsid w:val="00840686"/>
    <w:rsid w:val="0085749B"/>
    <w:rsid w:val="00881902"/>
    <w:rsid w:val="008A29E1"/>
    <w:rsid w:val="008C4870"/>
    <w:rsid w:val="008C6646"/>
    <w:rsid w:val="008D1F4C"/>
    <w:rsid w:val="008E1943"/>
    <w:rsid w:val="00903CC9"/>
    <w:rsid w:val="009301D8"/>
    <w:rsid w:val="00950768"/>
    <w:rsid w:val="00984C0B"/>
    <w:rsid w:val="009A3647"/>
    <w:rsid w:val="009A540B"/>
    <w:rsid w:val="009C365B"/>
    <w:rsid w:val="009C4223"/>
    <w:rsid w:val="009D4260"/>
    <w:rsid w:val="009F3149"/>
    <w:rsid w:val="00A047AA"/>
    <w:rsid w:val="00A20B98"/>
    <w:rsid w:val="00A24B96"/>
    <w:rsid w:val="00A26521"/>
    <w:rsid w:val="00A455A1"/>
    <w:rsid w:val="00A4597C"/>
    <w:rsid w:val="00A71C8D"/>
    <w:rsid w:val="00A94A83"/>
    <w:rsid w:val="00A95C0A"/>
    <w:rsid w:val="00AB5DEA"/>
    <w:rsid w:val="00AC52D9"/>
    <w:rsid w:val="00AD4FAA"/>
    <w:rsid w:val="00AD6A2E"/>
    <w:rsid w:val="00B1783D"/>
    <w:rsid w:val="00B23049"/>
    <w:rsid w:val="00B31491"/>
    <w:rsid w:val="00B356A9"/>
    <w:rsid w:val="00B510EA"/>
    <w:rsid w:val="00B544EB"/>
    <w:rsid w:val="00B6623C"/>
    <w:rsid w:val="00B742E4"/>
    <w:rsid w:val="00BC6DAD"/>
    <w:rsid w:val="00BD3AA8"/>
    <w:rsid w:val="00BE0967"/>
    <w:rsid w:val="00BF62D1"/>
    <w:rsid w:val="00C32FEE"/>
    <w:rsid w:val="00C72EA2"/>
    <w:rsid w:val="00C76904"/>
    <w:rsid w:val="00C77B65"/>
    <w:rsid w:val="00C962A0"/>
    <w:rsid w:val="00CF46E9"/>
    <w:rsid w:val="00D41706"/>
    <w:rsid w:val="00D878BB"/>
    <w:rsid w:val="00D97E00"/>
    <w:rsid w:val="00DB482D"/>
    <w:rsid w:val="00DB59C1"/>
    <w:rsid w:val="00DB706B"/>
    <w:rsid w:val="00DD7069"/>
    <w:rsid w:val="00DE39E7"/>
    <w:rsid w:val="00DF3277"/>
    <w:rsid w:val="00E160C1"/>
    <w:rsid w:val="00E21C06"/>
    <w:rsid w:val="00E325F3"/>
    <w:rsid w:val="00E404B8"/>
    <w:rsid w:val="00E60AE4"/>
    <w:rsid w:val="00EB3D13"/>
    <w:rsid w:val="00EB7062"/>
    <w:rsid w:val="00ED77BA"/>
    <w:rsid w:val="00F62CF0"/>
    <w:rsid w:val="00F67BF9"/>
    <w:rsid w:val="00F97E1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796F02"/>
  <w14:defaultImageDpi w14:val="300"/>
  <w15:docId w15:val="{DCC37097-9B48-4A5A-9503-A6D488B6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375"/>
  </w:style>
  <w:style w:type="paragraph" w:styleId="Ttulo2">
    <w:name w:val="heading 2"/>
    <w:basedOn w:val="Normal"/>
    <w:link w:val="Ttulo2Car"/>
    <w:uiPriority w:val="9"/>
    <w:qFormat/>
    <w:rsid w:val="00C77B65"/>
    <w:pPr>
      <w:spacing w:before="100" w:beforeAutospacing="1" w:after="100" w:afterAutospacing="1"/>
      <w:outlineLvl w:val="1"/>
    </w:pPr>
    <w:rPr>
      <w:rFonts w:ascii="Times" w:hAnsi="Times"/>
      <w:b/>
      <w:bCs/>
      <w:sz w:val="36"/>
      <w:szCs w:val="36"/>
      <w:lang w:val="es-EC"/>
    </w:rPr>
  </w:style>
  <w:style w:type="paragraph" w:styleId="Ttulo3">
    <w:name w:val="heading 3"/>
    <w:basedOn w:val="Normal"/>
    <w:next w:val="Normal"/>
    <w:link w:val="Ttulo3Car"/>
    <w:uiPriority w:val="9"/>
    <w:semiHidden/>
    <w:unhideWhenUsed/>
    <w:qFormat/>
    <w:rsid w:val="001D0E9D"/>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unhideWhenUsed/>
    <w:rsid w:val="00637D64"/>
    <w:rPr>
      <w:vertAlign w:val="superscript"/>
    </w:rPr>
  </w:style>
  <w:style w:type="paragraph" w:styleId="Prrafodelista">
    <w:name w:val="List Paragraph"/>
    <w:basedOn w:val="Normal"/>
    <w:uiPriority w:val="34"/>
    <w:qFormat/>
    <w:rsid w:val="00637D64"/>
    <w:pPr>
      <w:ind w:left="720"/>
      <w:contextualSpacing/>
    </w:pPr>
  </w:style>
  <w:style w:type="paragraph" w:styleId="NormalWeb">
    <w:name w:val="Normal (Web)"/>
    <w:basedOn w:val="Normal"/>
    <w:uiPriority w:val="99"/>
    <w:unhideWhenUsed/>
    <w:rsid w:val="002043A5"/>
    <w:pPr>
      <w:spacing w:before="100" w:beforeAutospacing="1" w:after="100" w:afterAutospacing="1"/>
    </w:pPr>
    <w:rPr>
      <w:rFonts w:ascii="Times" w:hAnsi="Times" w:cs="Times New Roman"/>
      <w:sz w:val="20"/>
      <w:szCs w:val="20"/>
      <w:lang w:val="es-EC"/>
    </w:rPr>
  </w:style>
  <w:style w:type="paragraph" w:styleId="Textonotapie">
    <w:name w:val="footnote text"/>
    <w:basedOn w:val="Normal"/>
    <w:link w:val="TextonotapieCar"/>
    <w:uiPriority w:val="99"/>
    <w:unhideWhenUsed/>
    <w:rsid w:val="002043A5"/>
  </w:style>
  <w:style w:type="character" w:customStyle="1" w:styleId="TextonotapieCar">
    <w:name w:val="Texto nota pie Car"/>
    <w:basedOn w:val="Fuentedeprrafopredeter"/>
    <w:link w:val="Textonotapie"/>
    <w:uiPriority w:val="99"/>
    <w:rsid w:val="002043A5"/>
  </w:style>
  <w:style w:type="character" w:customStyle="1" w:styleId="apple-converted-space">
    <w:name w:val="apple-converted-space"/>
    <w:basedOn w:val="Fuentedeprrafopredeter"/>
    <w:rsid w:val="00A24B96"/>
  </w:style>
  <w:style w:type="character" w:styleId="Hipervnculo">
    <w:name w:val="Hyperlink"/>
    <w:basedOn w:val="Fuentedeprrafopredeter"/>
    <w:uiPriority w:val="99"/>
    <w:unhideWhenUsed/>
    <w:rsid w:val="00A24B96"/>
    <w:rPr>
      <w:color w:val="0000FF"/>
      <w:u w:val="single"/>
    </w:rPr>
  </w:style>
  <w:style w:type="character" w:customStyle="1" w:styleId="Ttulo2Car">
    <w:name w:val="Título 2 Car"/>
    <w:basedOn w:val="Fuentedeprrafopredeter"/>
    <w:link w:val="Ttulo2"/>
    <w:uiPriority w:val="9"/>
    <w:rsid w:val="00C77B65"/>
    <w:rPr>
      <w:rFonts w:ascii="Times" w:hAnsi="Times"/>
      <w:b/>
      <w:bCs/>
      <w:sz w:val="36"/>
      <w:szCs w:val="36"/>
      <w:lang w:val="es-EC"/>
    </w:rPr>
  </w:style>
  <w:style w:type="character" w:styleId="Refdecomentario">
    <w:name w:val="annotation reference"/>
    <w:basedOn w:val="Fuentedeprrafopredeter"/>
    <w:uiPriority w:val="99"/>
    <w:semiHidden/>
    <w:unhideWhenUsed/>
    <w:rsid w:val="005B369F"/>
    <w:rPr>
      <w:sz w:val="18"/>
      <w:szCs w:val="18"/>
    </w:rPr>
  </w:style>
  <w:style w:type="paragraph" w:styleId="Textocomentario">
    <w:name w:val="annotation text"/>
    <w:basedOn w:val="Normal"/>
    <w:link w:val="TextocomentarioCar"/>
    <w:uiPriority w:val="99"/>
    <w:semiHidden/>
    <w:unhideWhenUsed/>
    <w:rsid w:val="005B369F"/>
  </w:style>
  <w:style w:type="character" w:customStyle="1" w:styleId="TextocomentarioCar">
    <w:name w:val="Texto comentario Car"/>
    <w:basedOn w:val="Fuentedeprrafopredeter"/>
    <w:link w:val="Textocomentario"/>
    <w:uiPriority w:val="99"/>
    <w:semiHidden/>
    <w:rsid w:val="005B369F"/>
  </w:style>
  <w:style w:type="paragraph" w:styleId="Asuntodelcomentario">
    <w:name w:val="annotation subject"/>
    <w:basedOn w:val="Textocomentario"/>
    <w:next w:val="Textocomentario"/>
    <w:link w:val="AsuntodelcomentarioCar"/>
    <w:uiPriority w:val="99"/>
    <w:semiHidden/>
    <w:unhideWhenUsed/>
    <w:rsid w:val="005B369F"/>
    <w:rPr>
      <w:b/>
      <w:bCs/>
      <w:sz w:val="20"/>
      <w:szCs w:val="20"/>
    </w:rPr>
  </w:style>
  <w:style w:type="character" w:customStyle="1" w:styleId="AsuntodelcomentarioCar">
    <w:name w:val="Asunto del comentario Car"/>
    <w:basedOn w:val="TextocomentarioCar"/>
    <w:link w:val="Asuntodelcomentario"/>
    <w:uiPriority w:val="99"/>
    <w:semiHidden/>
    <w:rsid w:val="005B369F"/>
    <w:rPr>
      <w:b/>
      <w:bCs/>
      <w:sz w:val="20"/>
      <w:szCs w:val="20"/>
    </w:rPr>
  </w:style>
  <w:style w:type="paragraph" w:styleId="Textodeglobo">
    <w:name w:val="Balloon Text"/>
    <w:basedOn w:val="Normal"/>
    <w:link w:val="TextodegloboCar"/>
    <w:uiPriority w:val="99"/>
    <w:semiHidden/>
    <w:unhideWhenUsed/>
    <w:rsid w:val="005B369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369F"/>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001B87"/>
    <w:rPr>
      <w:color w:val="800080" w:themeColor="followedHyperlink"/>
      <w:u w:val="single"/>
    </w:rPr>
  </w:style>
  <w:style w:type="character" w:customStyle="1" w:styleId="Ttulo3Car">
    <w:name w:val="Título 3 Car"/>
    <w:basedOn w:val="Fuentedeprrafopredeter"/>
    <w:link w:val="Ttulo3"/>
    <w:uiPriority w:val="9"/>
    <w:semiHidden/>
    <w:rsid w:val="001D0E9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3670">
      <w:bodyDiv w:val="1"/>
      <w:marLeft w:val="0"/>
      <w:marRight w:val="0"/>
      <w:marTop w:val="0"/>
      <w:marBottom w:val="0"/>
      <w:divBdr>
        <w:top w:val="none" w:sz="0" w:space="0" w:color="auto"/>
        <w:left w:val="none" w:sz="0" w:space="0" w:color="auto"/>
        <w:bottom w:val="none" w:sz="0" w:space="0" w:color="auto"/>
        <w:right w:val="none" w:sz="0" w:space="0" w:color="auto"/>
      </w:divBdr>
    </w:div>
    <w:div w:id="215439140">
      <w:bodyDiv w:val="1"/>
      <w:marLeft w:val="0"/>
      <w:marRight w:val="0"/>
      <w:marTop w:val="0"/>
      <w:marBottom w:val="0"/>
      <w:divBdr>
        <w:top w:val="none" w:sz="0" w:space="0" w:color="auto"/>
        <w:left w:val="none" w:sz="0" w:space="0" w:color="auto"/>
        <w:bottom w:val="none" w:sz="0" w:space="0" w:color="auto"/>
        <w:right w:val="none" w:sz="0" w:space="0" w:color="auto"/>
      </w:divBdr>
    </w:div>
    <w:div w:id="249700757">
      <w:bodyDiv w:val="1"/>
      <w:marLeft w:val="0"/>
      <w:marRight w:val="0"/>
      <w:marTop w:val="0"/>
      <w:marBottom w:val="0"/>
      <w:divBdr>
        <w:top w:val="none" w:sz="0" w:space="0" w:color="auto"/>
        <w:left w:val="none" w:sz="0" w:space="0" w:color="auto"/>
        <w:bottom w:val="none" w:sz="0" w:space="0" w:color="auto"/>
        <w:right w:val="none" w:sz="0" w:space="0" w:color="auto"/>
      </w:divBdr>
    </w:div>
    <w:div w:id="269123082">
      <w:bodyDiv w:val="1"/>
      <w:marLeft w:val="0"/>
      <w:marRight w:val="0"/>
      <w:marTop w:val="0"/>
      <w:marBottom w:val="0"/>
      <w:divBdr>
        <w:top w:val="none" w:sz="0" w:space="0" w:color="auto"/>
        <w:left w:val="none" w:sz="0" w:space="0" w:color="auto"/>
        <w:bottom w:val="none" w:sz="0" w:space="0" w:color="auto"/>
        <w:right w:val="none" w:sz="0" w:space="0" w:color="auto"/>
      </w:divBdr>
    </w:div>
    <w:div w:id="313684093">
      <w:bodyDiv w:val="1"/>
      <w:marLeft w:val="0"/>
      <w:marRight w:val="0"/>
      <w:marTop w:val="0"/>
      <w:marBottom w:val="0"/>
      <w:divBdr>
        <w:top w:val="none" w:sz="0" w:space="0" w:color="auto"/>
        <w:left w:val="none" w:sz="0" w:space="0" w:color="auto"/>
        <w:bottom w:val="none" w:sz="0" w:space="0" w:color="auto"/>
        <w:right w:val="none" w:sz="0" w:space="0" w:color="auto"/>
      </w:divBdr>
    </w:div>
    <w:div w:id="621347139">
      <w:bodyDiv w:val="1"/>
      <w:marLeft w:val="0"/>
      <w:marRight w:val="0"/>
      <w:marTop w:val="0"/>
      <w:marBottom w:val="0"/>
      <w:divBdr>
        <w:top w:val="none" w:sz="0" w:space="0" w:color="auto"/>
        <w:left w:val="none" w:sz="0" w:space="0" w:color="auto"/>
        <w:bottom w:val="none" w:sz="0" w:space="0" w:color="auto"/>
        <w:right w:val="none" w:sz="0" w:space="0" w:color="auto"/>
      </w:divBdr>
      <w:divsChild>
        <w:div w:id="49231029">
          <w:marLeft w:val="0"/>
          <w:marRight w:val="0"/>
          <w:marTop w:val="0"/>
          <w:marBottom w:val="0"/>
          <w:divBdr>
            <w:top w:val="none" w:sz="0" w:space="0" w:color="auto"/>
            <w:left w:val="none" w:sz="0" w:space="0" w:color="auto"/>
            <w:bottom w:val="none" w:sz="0" w:space="0" w:color="auto"/>
            <w:right w:val="none" w:sz="0" w:space="0" w:color="auto"/>
          </w:divBdr>
          <w:divsChild>
            <w:div w:id="1319188334">
              <w:marLeft w:val="0"/>
              <w:marRight w:val="0"/>
              <w:marTop w:val="0"/>
              <w:marBottom w:val="0"/>
              <w:divBdr>
                <w:top w:val="none" w:sz="0" w:space="0" w:color="auto"/>
                <w:left w:val="none" w:sz="0" w:space="0" w:color="auto"/>
                <w:bottom w:val="none" w:sz="0" w:space="0" w:color="auto"/>
                <w:right w:val="none" w:sz="0" w:space="0" w:color="auto"/>
              </w:divBdr>
              <w:divsChild>
                <w:div w:id="16685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4503">
      <w:bodyDiv w:val="1"/>
      <w:marLeft w:val="0"/>
      <w:marRight w:val="0"/>
      <w:marTop w:val="0"/>
      <w:marBottom w:val="0"/>
      <w:divBdr>
        <w:top w:val="none" w:sz="0" w:space="0" w:color="auto"/>
        <w:left w:val="none" w:sz="0" w:space="0" w:color="auto"/>
        <w:bottom w:val="none" w:sz="0" w:space="0" w:color="auto"/>
        <w:right w:val="none" w:sz="0" w:space="0" w:color="auto"/>
      </w:divBdr>
    </w:div>
    <w:div w:id="771585883">
      <w:bodyDiv w:val="1"/>
      <w:marLeft w:val="0"/>
      <w:marRight w:val="0"/>
      <w:marTop w:val="0"/>
      <w:marBottom w:val="0"/>
      <w:divBdr>
        <w:top w:val="none" w:sz="0" w:space="0" w:color="auto"/>
        <w:left w:val="none" w:sz="0" w:space="0" w:color="auto"/>
        <w:bottom w:val="none" w:sz="0" w:space="0" w:color="auto"/>
        <w:right w:val="none" w:sz="0" w:space="0" w:color="auto"/>
      </w:divBdr>
    </w:div>
    <w:div w:id="938637406">
      <w:bodyDiv w:val="1"/>
      <w:marLeft w:val="0"/>
      <w:marRight w:val="0"/>
      <w:marTop w:val="0"/>
      <w:marBottom w:val="0"/>
      <w:divBdr>
        <w:top w:val="none" w:sz="0" w:space="0" w:color="auto"/>
        <w:left w:val="none" w:sz="0" w:space="0" w:color="auto"/>
        <w:bottom w:val="none" w:sz="0" w:space="0" w:color="auto"/>
        <w:right w:val="none" w:sz="0" w:space="0" w:color="auto"/>
      </w:divBdr>
    </w:div>
    <w:div w:id="1177034732">
      <w:bodyDiv w:val="1"/>
      <w:marLeft w:val="0"/>
      <w:marRight w:val="0"/>
      <w:marTop w:val="0"/>
      <w:marBottom w:val="0"/>
      <w:divBdr>
        <w:top w:val="none" w:sz="0" w:space="0" w:color="auto"/>
        <w:left w:val="none" w:sz="0" w:space="0" w:color="auto"/>
        <w:bottom w:val="none" w:sz="0" w:space="0" w:color="auto"/>
        <w:right w:val="none" w:sz="0" w:space="0" w:color="auto"/>
      </w:divBdr>
      <w:divsChild>
        <w:div w:id="2037728770">
          <w:marLeft w:val="0"/>
          <w:marRight w:val="0"/>
          <w:marTop w:val="0"/>
          <w:marBottom w:val="0"/>
          <w:divBdr>
            <w:top w:val="none" w:sz="0" w:space="0" w:color="auto"/>
            <w:left w:val="none" w:sz="0" w:space="0" w:color="auto"/>
            <w:bottom w:val="none" w:sz="0" w:space="0" w:color="auto"/>
            <w:right w:val="none" w:sz="0" w:space="0" w:color="auto"/>
          </w:divBdr>
          <w:divsChild>
            <w:div w:id="1117065534">
              <w:marLeft w:val="0"/>
              <w:marRight w:val="0"/>
              <w:marTop w:val="0"/>
              <w:marBottom w:val="0"/>
              <w:divBdr>
                <w:top w:val="none" w:sz="0" w:space="0" w:color="auto"/>
                <w:left w:val="none" w:sz="0" w:space="0" w:color="auto"/>
                <w:bottom w:val="none" w:sz="0" w:space="0" w:color="auto"/>
                <w:right w:val="none" w:sz="0" w:space="0" w:color="auto"/>
              </w:divBdr>
              <w:divsChild>
                <w:div w:id="1763064988">
                  <w:marLeft w:val="0"/>
                  <w:marRight w:val="0"/>
                  <w:marTop w:val="0"/>
                  <w:marBottom w:val="0"/>
                  <w:divBdr>
                    <w:top w:val="none" w:sz="0" w:space="0" w:color="auto"/>
                    <w:left w:val="none" w:sz="0" w:space="0" w:color="auto"/>
                    <w:bottom w:val="none" w:sz="0" w:space="0" w:color="auto"/>
                    <w:right w:val="none" w:sz="0" w:space="0" w:color="auto"/>
                  </w:divBdr>
                  <w:divsChild>
                    <w:div w:id="13593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87318">
      <w:bodyDiv w:val="1"/>
      <w:marLeft w:val="0"/>
      <w:marRight w:val="0"/>
      <w:marTop w:val="0"/>
      <w:marBottom w:val="0"/>
      <w:divBdr>
        <w:top w:val="none" w:sz="0" w:space="0" w:color="auto"/>
        <w:left w:val="none" w:sz="0" w:space="0" w:color="auto"/>
        <w:bottom w:val="none" w:sz="0" w:space="0" w:color="auto"/>
        <w:right w:val="none" w:sz="0" w:space="0" w:color="auto"/>
      </w:divBdr>
    </w:div>
    <w:div w:id="1341271359">
      <w:bodyDiv w:val="1"/>
      <w:marLeft w:val="0"/>
      <w:marRight w:val="0"/>
      <w:marTop w:val="0"/>
      <w:marBottom w:val="0"/>
      <w:divBdr>
        <w:top w:val="none" w:sz="0" w:space="0" w:color="auto"/>
        <w:left w:val="none" w:sz="0" w:space="0" w:color="auto"/>
        <w:bottom w:val="none" w:sz="0" w:space="0" w:color="auto"/>
        <w:right w:val="none" w:sz="0" w:space="0" w:color="auto"/>
      </w:divBdr>
    </w:div>
    <w:div w:id="1566574105">
      <w:bodyDiv w:val="1"/>
      <w:marLeft w:val="0"/>
      <w:marRight w:val="0"/>
      <w:marTop w:val="0"/>
      <w:marBottom w:val="0"/>
      <w:divBdr>
        <w:top w:val="none" w:sz="0" w:space="0" w:color="auto"/>
        <w:left w:val="none" w:sz="0" w:space="0" w:color="auto"/>
        <w:bottom w:val="none" w:sz="0" w:space="0" w:color="auto"/>
        <w:right w:val="none" w:sz="0" w:space="0" w:color="auto"/>
      </w:divBdr>
    </w:div>
    <w:div w:id="1630277880">
      <w:bodyDiv w:val="1"/>
      <w:marLeft w:val="0"/>
      <w:marRight w:val="0"/>
      <w:marTop w:val="0"/>
      <w:marBottom w:val="0"/>
      <w:divBdr>
        <w:top w:val="none" w:sz="0" w:space="0" w:color="auto"/>
        <w:left w:val="none" w:sz="0" w:space="0" w:color="auto"/>
        <w:bottom w:val="none" w:sz="0" w:space="0" w:color="auto"/>
        <w:right w:val="none" w:sz="0" w:space="0" w:color="auto"/>
      </w:divBdr>
      <w:divsChild>
        <w:div w:id="1762722695">
          <w:marLeft w:val="0"/>
          <w:marRight w:val="0"/>
          <w:marTop w:val="0"/>
          <w:marBottom w:val="0"/>
          <w:divBdr>
            <w:top w:val="none" w:sz="0" w:space="0" w:color="auto"/>
            <w:left w:val="none" w:sz="0" w:space="0" w:color="auto"/>
            <w:bottom w:val="none" w:sz="0" w:space="0" w:color="auto"/>
            <w:right w:val="none" w:sz="0" w:space="0" w:color="auto"/>
          </w:divBdr>
          <w:divsChild>
            <w:div w:id="1418477468">
              <w:marLeft w:val="0"/>
              <w:marRight w:val="0"/>
              <w:marTop w:val="0"/>
              <w:marBottom w:val="0"/>
              <w:divBdr>
                <w:top w:val="none" w:sz="0" w:space="0" w:color="auto"/>
                <w:left w:val="none" w:sz="0" w:space="0" w:color="auto"/>
                <w:bottom w:val="none" w:sz="0" w:space="0" w:color="auto"/>
                <w:right w:val="none" w:sz="0" w:space="0" w:color="auto"/>
              </w:divBdr>
              <w:divsChild>
                <w:div w:id="10206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84747">
      <w:bodyDiv w:val="1"/>
      <w:marLeft w:val="0"/>
      <w:marRight w:val="0"/>
      <w:marTop w:val="0"/>
      <w:marBottom w:val="0"/>
      <w:divBdr>
        <w:top w:val="none" w:sz="0" w:space="0" w:color="auto"/>
        <w:left w:val="none" w:sz="0" w:space="0" w:color="auto"/>
        <w:bottom w:val="none" w:sz="0" w:space="0" w:color="auto"/>
        <w:right w:val="none" w:sz="0" w:space="0" w:color="auto"/>
      </w:divBdr>
    </w:div>
    <w:div w:id="1728724850">
      <w:bodyDiv w:val="1"/>
      <w:marLeft w:val="0"/>
      <w:marRight w:val="0"/>
      <w:marTop w:val="0"/>
      <w:marBottom w:val="0"/>
      <w:divBdr>
        <w:top w:val="none" w:sz="0" w:space="0" w:color="auto"/>
        <w:left w:val="none" w:sz="0" w:space="0" w:color="auto"/>
        <w:bottom w:val="none" w:sz="0" w:space="0" w:color="auto"/>
        <w:right w:val="none" w:sz="0" w:space="0" w:color="auto"/>
      </w:divBdr>
    </w:div>
    <w:div w:id="1729375708">
      <w:bodyDiv w:val="1"/>
      <w:marLeft w:val="0"/>
      <w:marRight w:val="0"/>
      <w:marTop w:val="0"/>
      <w:marBottom w:val="0"/>
      <w:divBdr>
        <w:top w:val="none" w:sz="0" w:space="0" w:color="auto"/>
        <w:left w:val="none" w:sz="0" w:space="0" w:color="auto"/>
        <w:bottom w:val="none" w:sz="0" w:space="0" w:color="auto"/>
        <w:right w:val="none" w:sz="0" w:space="0" w:color="auto"/>
      </w:divBdr>
    </w:div>
    <w:div w:id="1806657829">
      <w:bodyDiv w:val="1"/>
      <w:marLeft w:val="0"/>
      <w:marRight w:val="0"/>
      <w:marTop w:val="0"/>
      <w:marBottom w:val="0"/>
      <w:divBdr>
        <w:top w:val="none" w:sz="0" w:space="0" w:color="auto"/>
        <w:left w:val="none" w:sz="0" w:space="0" w:color="auto"/>
        <w:bottom w:val="none" w:sz="0" w:space="0" w:color="auto"/>
        <w:right w:val="none" w:sz="0" w:space="0" w:color="auto"/>
      </w:divBdr>
      <w:divsChild>
        <w:div w:id="1759015860">
          <w:marLeft w:val="0"/>
          <w:marRight w:val="0"/>
          <w:marTop w:val="0"/>
          <w:marBottom w:val="0"/>
          <w:divBdr>
            <w:top w:val="none" w:sz="0" w:space="0" w:color="auto"/>
            <w:left w:val="none" w:sz="0" w:space="0" w:color="auto"/>
            <w:bottom w:val="none" w:sz="0" w:space="0" w:color="auto"/>
            <w:right w:val="none" w:sz="0" w:space="0" w:color="auto"/>
          </w:divBdr>
          <w:divsChild>
            <w:div w:id="150148053">
              <w:marLeft w:val="0"/>
              <w:marRight w:val="0"/>
              <w:marTop w:val="0"/>
              <w:marBottom w:val="0"/>
              <w:divBdr>
                <w:top w:val="none" w:sz="0" w:space="0" w:color="auto"/>
                <w:left w:val="none" w:sz="0" w:space="0" w:color="auto"/>
                <w:bottom w:val="none" w:sz="0" w:space="0" w:color="auto"/>
                <w:right w:val="none" w:sz="0" w:space="0" w:color="auto"/>
              </w:divBdr>
              <w:divsChild>
                <w:div w:id="658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41344">
      <w:bodyDiv w:val="1"/>
      <w:marLeft w:val="0"/>
      <w:marRight w:val="0"/>
      <w:marTop w:val="0"/>
      <w:marBottom w:val="0"/>
      <w:divBdr>
        <w:top w:val="none" w:sz="0" w:space="0" w:color="auto"/>
        <w:left w:val="none" w:sz="0" w:space="0" w:color="auto"/>
        <w:bottom w:val="none" w:sz="0" w:space="0" w:color="auto"/>
        <w:right w:val="none" w:sz="0" w:space="0" w:color="auto"/>
      </w:divBdr>
    </w:div>
    <w:div w:id="1885752587">
      <w:bodyDiv w:val="1"/>
      <w:marLeft w:val="0"/>
      <w:marRight w:val="0"/>
      <w:marTop w:val="0"/>
      <w:marBottom w:val="0"/>
      <w:divBdr>
        <w:top w:val="none" w:sz="0" w:space="0" w:color="auto"/>
        <w:left w:val="none" w:sz="0" w:space="0" w:color="auto"/>
        <w:bottom w:val="none" w:sz="0" w:space="0" w:color="auto"/>
        <w:right w:val="none" w:sz="0" w:space="0" w:color="auto"/>
      </w:divBdr>
      <w:divsChild>
        <w:div w:id="835148552">
          <w:marLeft w:val="0"/>
          <w:marRight w:val="0"/>
          <w:marTop w:val="0"/>
          <w:marBottom w:val="0"/>
          <w:divBdr>
            <w:top w:val="none" w:sz="0" w:space="0" w:color="auto"/>
            <w:left w:val="none" w:sz="0" w:space="0" w:color="auto"/>
            <w:bottom w:val="none" w:sz="0" w:space="0" w:color="auto"/>
            <w:right w:val="none" w:sz="0" w:space="0" w:color="auto"/>
          </w:divBdr>
          <w:divsChild>
            <w:div w:id="703024031">
              <w:marLeft w:val="0"/>
              <w:marRight w:val="0"/>
              <w:marTop w:val="0"/>
              <w:marBottom w:val="0"/>
              <w:divBdr>
                <w:top w:val="none" w:sz="0" w:space="0" w:color="auto"/>
                <w:left w:val="none" w:sz="0" w:space="0" w:color="auto"/>
                <w:bottom w:val="none" w:sz="0" w:space="0" w:color="auto"/>
                <w:right w:val="none" w:sz="0" w:space="0" w:color="auto"/>
              </w:divBdr>
              <w:divsChild>
                <w:div w:id="10631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6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bibliotecavirtual.udla.edu.ec/docview/1037808536?accountid=331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056F-BD86-4648-ABFA-9E2790F1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3639</Words>
  <Characters>20746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ljativa</dc:creator>
  <cp:keywords/>
  <dc:description/>
  <cp:lastModifiedBy>Raúl Llasag Fernndez</cp:lastModifiedBy>
  <cp:revision>2</cp:revision>
  <dcterms:created xsi:type="dcterms:W3CDTF">2019-02-04T03:55:00Z</dcterms:created>
  <dcterms:modified xsi:type="dcterms:W3CDTF">2019-02-04T03:55:00Z</dcterms:modified>
</cp:coreProperties>
</file>